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B6633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0E56733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86860">
              <w:rPr>
                <w:noProof/>
                <w:webHidden/>
              </w:rPr>
              <w:t>2</w:t>
            </w:r>
            <w:r>
              <w:rPr>
                <w:noProof/>
                <w:webHidden/>
              </w:rPr>
              <w:fldChar w:fldCharType="end"/>
            </w:r>
          </w:hyperlink>
        </w:p>
        <w:p w14:paraId="47CC41D1" w14:textId="33818946" w:rsidR="00F46719" w:rsidRDefault="00022AA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86860">
              <w:rPr>
                <w:noProof/>
                <w:webHidden/>
              </w:rPr>
              <w:t>2</w:t>
            </w:r>
            <w:r w:rsidR="00F46719">
              <w:rPr>
                <w:noProof/>
                <w:webHidden/>
              </w:rPr>
              <w:fldChar w:fldCharType="end"/>
            </w:r>
          </w:hyperlink>
        </w:p>
        <w:p w14:paraId="0205BF1A" w14:textId="2FDFFC92" w:rsidR="00F46719" w:rsidRDefault="00022AA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86860">
              <w:rPr>
                <w:noProof/>
                <w:webHidden/>
              </w:rPr>
              <w:t>3</w:t>
            </w:r>
            <w:r w:rsidR="00F46719">
              <w:rPr>
                <w:noProof/>
                <w:webHidden/>
              </w:rPr>
              <w:fldChar w:fldCharType="end"/>
            </w:r>
          </w:hyperlink>
        </w:p>
        <w:p w14:paraId="3181098F" w14:textId="16BE3280" w:rsidR="00F46719" w:rsidRDefault="00022AA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86860">
              <w:rPr>
                <w:noProof/>
                <w:webHidden/>
              </w:rPr>
              <w:t>4</w:t>
            </w:r>
            <w:r w:rsidR="00F46719">
              <w:rPr>
                <w:noProof/>
                <w:webHidden/>
              </w:rPr>
              <w:fldChar w:fldCharType="end"/>
            </w:r>
          </w:hyperlink>
        </w:p>
        <w:p w14:paraId="3E5886DF" w14:textId="44E24DB3" w:rsidR="00F46719" w:rsidRDefault="00022AA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86860">
              <w:rPr>
                <w:noProof/>
                <w:webHidden/>
              </w:rPr>
              <w:t>6</w:t>
            </w:r>
            <w:r w:rsidR="00F46719">
              <w:rPr>
                <w:noProof/>
                <w:webHidden/>
              </w:rPr>
              <w:fldChar w:fldCharType="end"/>
            </w:r>
          </w:hyperlink>
        </w:p>
        <w:p w14:paraId="653AF446" w14:textId="787BBDBF" w:rsidR="00F46719" w:rsidRDefault="00022AA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86860">
              <w:rPr>
                <w:noProof/>
                <w:webHidden/>
              </w:rPr>
              <w:t>12</w:t>
            </w:r>
            <w:r w:rsidR="00F46719">
              <w:rPr>
                <w:noProof/>
                <w:webHidden/>
              </w:rPr>
              <w:fldChar w:fldCharType="end"/>
            </w:r>
          </w:hyperlink>
        </w:p>
        <w:p w14:paraId="21BA046A" w14:textId="1DC61805" w:rsidR="00F46719" w:rsidRDefault="00022AA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86860">
              <w:rPr>
                <w:noProof/>
                <w:webHidden/>
              </w:rPr>
              <w:t>13</w:t>
            </w:r>
            <w:r w:rsidR="00F46719">
              <w:rPr>
                <w:noProof/>
                <w:webHidden/>
              </w:rPr>
              <w:fldChar w:fldCharType="end"/>
            </w:r>
          </w:hyperlink>
        </w:p>
        <w:p w14:paraId="784807F5" w14:textId="766D4C7E" w:rsidR="00F46719" w:rsidRDefault="00022AA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86860">
              <w:rPr>
                <w:noProof/>
                <w:webHidden/>
              </w:rPr>
              <w:t>14</w:t>
            </w:r>
            <w:r w:rsidR="00F46719">
              <w:rPr>
                <w:noProof/>
                <w:webHidden/>
              </w:rPr>
              <w:fldChar w:fldCharType="end"/>
            </w:r>
          </w:hyperlink>
        </w:p>
        <w:p w14:paraId="7E663DB5" w14:textId="10FD1E4C" w:rsidR="00F46719" w:rsidRDefault="00022AA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86860">
              <w:rPr>
                <w:noProof/>
                <w:webHidden/>
              </w:rPr>
              <w:t>15</w:t>
            </w:r>
            <w:r w:rsidR="00F46719">
              <w:rPr>
                <w:noProof/>
                <w:webHidden/>
              </w:rPr>
              <w:fldChar w:fldCharType="end"/>
            </w:r>
          </w:hyperlink>
        </w:p>
        <w:p w14:paraId="335A44C3" w14:textId="21B1FD69" w:rsidR="00F46719" w:rsidRDefault="00022AA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86860">
              <w:rPr>
                <w:noProof/>
                <w:webHidden/>
              </w:rPr>
              <w:t>15</w:t>
            </w:r>
            <w:r w:rsidR="00F46719">
              <w:rPr>
                <w:noProof/>
                <w:webHidden/>
              </w:rPr>
              <w:fldChar w:fldCharType="end"/>
            </w:r>
          </w:hyperlink>
        </w:p>
        <w:p w14:paraId="290CB7FF" w14:textId="50A04DB6" w:rsidR="00F46719" w:rsidRDefault="00022AA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67FB6C3B" w14:textId="0916C988" w:rsidR="00F46719" w:rsidRDefault="00022AA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3373EEEC" w14:textId="4A1234AE" w:rsidR="00F46719" w:rsidRDefault="00022AA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01A1A543" w14:textId="2537C413" w:rsidR="00F46719" w:rsidRDefault="00022AA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314DA06E" w14:textId="6455BDBD" w:rsidR="00F46719" w:rsidRDefault="00022AA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86860">
              <w:rPr>
                <w:noProof/>
                <w:webHidden/>
              </w:rPr>
              <w:t>17</w:t>
            </w:r>
            <w:r w:rsidR="00F46719">
              <w:rPr>
                <w:noProof/>
                <w:webHidden/>
              </w:rPr>
              <w:fldChar w:fldCharType="end"/>
            </w:r>
          </w:hyperlink>
        </w:p>
        <w:p w14:paraId="0A10726F" w14:textId="2D7CF568" w:rsidR="00F46719" w:rsidRDefault="00022AA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86860">
              <w:rPr>
                <w:noProof/>
                <w:webHidden/>
              </w:rPr>
              <w:t>17</w:t>
            </w:r>
            <w:r w:rsidR="00F46719">
              <w:rPr>
                <w:noProof/>
                <w:webHidden/>
              </w:rPr>
              <w:fldChar w:fldCharType="end"/>
            </w:r>
          </w:hyperlink>
        </w:p>
        <w:p w14:paraId="3402BC77" w14:textId="6B69E98D" w:rsidR="00F46719" w:rsidRDefault="00022AA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86860">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7B15EF6B" w14:textId="14B1C74B"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Pr>
          <w:rFonts w:cs="Calibri"/>
          <w:color w:val="1F3864" w:themeColor="accent5" w:themeShade="80"/>
        </w:rPr>
        <w:t>segundo</w:t>
      </w:r>
      <w:r w:rsidRPr="00DA6BD9">
        <w:rPr>
          <w:rFonts w:cs="Calibri"/>
          <w:color w:val="1F3864" w:themeColor="accent5" w:themeShade="80"/>
        </w:rPr>
        <w:t xml:space="preserve"> trimestre del ejercicio 202</w:t>
      </w:r>
      <w:r>
        <w:rPr>
          <w:rFonts w:cs="Calibri"/>
          <w:color w:val="1F3864" w:themeColor="accent5" w:themeShade="80"/>
        </w:rPr>
        <w:t>2</w:t>
      </w:r>
      <w:r w:rsidRPr="00DA6BD9">
        <w:rPr>
          <w:rFonts w:cs="Calibri"/>
          <w:color w:val="1F3864" w:themeColor="accent5" w:themeShade="80"/>
        </w:rPr>
        <w:t xml:space="preserve">, el Instituto Municipal de Vivienda cuenta con un presupuesto de ingresos recaudados de; $ </w:t>
      </w:r>
      <w:r w:rsidR="00962B61">
        <w:rPr>
          <w:rFonts w:cs="Calibri"/>
          <w:color w:val="1F3864" w:themeColor="accent5" w:themeShade="80"/>
        </w:rPr>
        <w:t>9,728,562</w:t>
      </w:r>
      <w:r>
        <w:rPr>
          <w:rFonts w:cs="Calibri"/>
          <w:color w:val="1F3864" w:themeColor="accent5" w:themeShade="80"/>
        </w:rPr>
        <w:t>.</w:t>
      </w:r>
      <w:r w:rsidR="00962B61">
        <w:rPr>
          <w:rFonts w:cs="Calibri"/>
          <w:color w:val="1F3864" w:themeColor="accent5" w:themeShade="80"/>
        </w:rPr>
        <w:t>12</w:t>
      </w:r>
      <w:r w:rsidRPr="00DA6BD9">
        <w:rPr>
          <w:rFonts w:cs="Calibri"/>
          <w:color w:val="1F3864" w:themeColor="accent5" w:themeShade="80"/>
        </w:rPr>
        <w:t xml:space="preserve"> (</w:t>
      </w:r>
      <w:r w:rsidR="00962B61">
        <w:rPr>
          <w:rFonts w:cs="Calibri"/>
          <w:color w:val="1F3864" w:themeColor="accent5" w:themeShade="80"/>
        </w:rPr>
        <w:t>Nueve</w:t>
      </w:r>
      <w:r>
        <w:rPr>
          <w:rFonts w:cs="Calibri"/>
          <w:color w:val="1F3864" w:themeColor="accent5" w:themeShade="80"/>
        </w:rPr>
        <w:t xml:space="preserve"> </w:t>
      </w:r>
      <w:r w:rsidRPr="00DA6BD9">
        <w:rPr>
          <w:rFonts w:cs="Calibri"/>
          <w:color w:val="1F3864" w:themeColor="accent5" w:themeShade="80"/>
        </w:rPr>
        <w:t>mill</w:t>
      </w:r>
      <w:r w:rsidR="00962B61">
        <w:rPr>
          <w:rFonts w:cs="Calibri"/>
          <w:color w:val="1F3864" w:themeColor="accent5" w:themeShade="80"/>
        </w:rPr>
        <w:t>ones</w:t>
      </w:r>
      <w:r>
        <w:rPr>
          <w:rFonts w:cs="Calibri"/>
          <w:color w:val="1F3864" w:themeColor="accent5" w:themeShade="80"/>
        </w:rPr>
        <w:t xml:space="preserve"> </w:t>
      </w:r>
      <w:r w:rsidR="00962B61">
        <w:rPr>
          <w:rFonts w:cs="Calibri"/>
          <w:color w:val="1F3864" w:themeColor="accent5" w:themeShade="80"/>
        </w:rPr>
        <w:t xml:space="preserve">setecientos veintiocho mil quinientos sesenta y dos </w:t>
      </w:r>
      <w:r w:rsidRPr="00DA6BD9">
        <w:rPr>
          <w:rFonts w:cs="Calibri"/>
          <w:color w:val="1F3864" w:themeColor="accent5" w:themeShade="80"/>
        </w:rPr>
        <w:t>pesos</w:t>
      </w:r>
      <w:r>
        <w:rPr>
          <w:rFonts w:cs="Calibri"/>
          <w:color w:val="1F3864" w:themeColor="accent5" w:themeShade="80"/>
        </w:rPr>
        <w:t xml:space="preserve"> </w:t>
      </w:r>
      <w:r w:rsidR="00962B61">
        <w:rPr>
          <w:rFonts w:cs="Calibri"/>
          <w:color w:val="1F3864" w:themeColor="accent5" w:themeShade="80"/>
        </w:rPr>
        <w:t>12</w:t>
      </w:r>
      <w:r w:rsidRPr="00DA6BD9">
        <w:rPr>
          <w:rFonts w:cs="Calibri"/>
          <w:color w:val="1F3864" w:themeColor="accent5" w:themeShade="80"/>
        </w:rPr>
        <w:t xml:space="preserve">/100 m.n.) y un presupuesto de egresos ejercido de; </w:t>
      </w:r>
    </w:p>
    <w:p w14:paraId="138ECAD8" w14:textId="1E3FD365"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962B61">
        <w:rPr>
          <w:rFonts w:cs="Calibri"/>
          <w:color w:val="1F3864" w:themeColor="accent5" w:themeShade="80"/>
        </w:rPr>
        <w:t>3,282,943</w:t>
      </w:r>
      <w:r>
        <w:rPr>
          <w:rFonts w:cs="Calibri"/>
          <w:color w:val="1F3864" w:themeColor="accent5" w:themeShade="80"/>
        </w:rPr>
        <w:t>.</w:t>
      </w:r>
      <w:r w:rsidR="00962B61">
        <w:rPr>
          <w:rFonts w:cs="Calibri"/>
          <w:color w:val="1F3864" w:themeColor="accent5" w:themeShade="80"/>
        </w:rPr>
        <w:t>17</w:t>
      </w:r>
      <w:r w:rsidRPr="00DA6BD9">
        <w:rPr>
          <w:rFonts w:cs="Calibri"/>
          <w:color w:val="1F3864" w:themeColor="accent5" w:themeShade="80"/>
        </w:rPr>
        <w:t>(</w:t>
      </w:r>
      <w:r w:rsidR="00962B61">
        <w:rPr>
          <w:rFonts w:cs="Calibri"/>
          <w:color w:val="1F3864" w:themeColor="accent5" w:themeShade="80"/>
        </w:rPr>
        <w:t>Tres millones doscientos ochenta y dos mil novecientos cuarenta y tres pesos</w:t>
      </w:r>
      <w:r w:rsidRPr="00DA6BD9">
        <w:rPr>
          <w:rFonts w:cs="Calibri"/>
          <w:color w:val="1F3864" w:themeColor="accent5" w:themeShade="80"/>
        </w:rPr>
        <w:t xml:space="preserve"> </w:t>
      </w:r>
      <w:r w:rsidR="00962B61">
        <w:rPr>
          <w:rFonts w:cs="Calibri"/>
          <w:color w:val="1F3864" w:themeColor="accent5" w:themeShade="80"/>
        </w:rPr>
        <w:t>17</w:t>
      </w:r>
      <w:r w:rsidRPr="00DA6BD9">
        <w:rPr>
          <w:rFonts w:cs="Calibri"/>
          <w:color w:val="1F3864" w:themeColor="accent5" w:themeShade="80"/>
        </w:rPr>
        <w:t xml:space="preserve">/100 m.n.). </w:t>
      </w:r>
    </w:p>
    <w:p w14:paraId="687567A4" w14:textId="77777777" w:rsidR="009C785C" w:rsidRPr="00DA6BD9" w:rsidRDefault="009C785C" w:rsidP="00EC2FDE">
      <w:pPr>
        <w:tabs>
          <w:tab w:val="left" w:pos="9639"/>
        </w:tabs>
        <w:spacing w:after="0" w:line="360" w:lineRule="auto"/>
        <w:jc w:val="both"/>
        <w:rPr>
          <w:rFonts w:cs="Calibri"/>
          <w:color w:val="1F3864" w:themeColor="accent5" w:themeShade="80"/>
        </w:rPr>
      </w:pP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68750655"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153BDF">
        <w:rPr>
          <w:rFonts w:cs="Calibri"/>
          <w:color w:val="1F3864" w:themeColor="accent5" w:themeShade="80"/>
        </w:rPr>
        <w:t>8,670,000</w:t>
      </w:r>
      <w:r w:rsidRPr="00DA6BD9">
        <w:rPr>
          <w:rFonts w:cs="Calibri"/>
          <w:color w:val="1F3864" w:themeColor="accent5" w:themeShade="80"/>
        </w:rPr>
        <w:t xml:space="preserve"> con una recaudación al </w:t>
      </w:r>
      <w:r w:rsidR="00153BDF">
        <w:rPr>
          <w:rFonts w:cs="Calibri"/>
          <w:color w:val="1F3864" w:themeColor="accent5" w:themeShade="80"/>
        </w:rPr>
        <w:t>primer</w:t>
      </w:r>
      <w:r w:rsidR="00365CAF">
        <w:rPr>
          <w:rFonts w:cs="Calibri"/>
          <w:color w:val="1F3864" w:themeColor="accent5" w:themeShade="80"/>
        </w:rPr>
        <w:t xml:space="preserve"> </w:t>
      </w:r>
      <w:r w:rsidRPr="00DA6BD9">
        <w:rPr>
          <w:rFonts w:cs="Calibri"/>
          <w:color w:val="1F3864" w:themeColor="accent5" w:themeShade="80"/>
        </w:rPr>
        <w:t>trimestre 202</w:t>
      </w:r>
      <w:r w:rsidR="00153BDF">
        <w:rPr>
          <w:rFonts w:cs="Calibri"/>
          <w:color w:val="1F3864" w:themeColor="accent5" w:themeShade="80"/>
        </w:rPr>
        <w:t>2</w:t>
      </w:r>
      <w:r w:rsidRPr="00DA6BD9">
        <w:rPr>
          <w:rFonts w:cs="Calibri"/>
          <w:color w:val="1F3864" w:themeColor="accent5" w:themeShade="80"/>
        </w:rPr>
        <w:t xml:space="preserve"> de $ </w:t>
      </w:r>
      <w:r w:rsidR="00962B61">
        <w:rPr>
          <w:rFonts w:cs="Calibri"/>
          <w:color w:val="1F3864" w:themeColor="accent5" w:themeShade="80"/>
        </w:rPr>
        <w:t>8,001,972.32</w:t>
      </w:r>
    </w:p>
    <w:p w14:paraId="2C32B9F8" w14:textId="777664C8"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E93441">
        <w:rPr>
          <w:rFonts w:cs="Calibri"/>
          <w:color w:val="1F3864" w:themeColor="accent5" w:themeShade="80"/>
        </w:rPr>
        <w:t xml:space="preserve">primer </w:t>
      </w:r>
      <w:r w:rsidR="00E93441" w:rsidRPr="00DA6BD9">
        <w:rPr>
          <w:rFonts w:cs="Calibri"/>
          <w:color w:val="1F3864" w:themeColor="accent5" w:themeShade="80"/>
        </w:rPr>
        <w:t>trimestre</w:t>
      </w:r>
      <w:r w:rsidRPr="00DA6BD9">
        <w:rPr>
          <w:rFonts w:cs="Calibri"/>
          <w:color w:val="1F3864" w:themeColor="accent5" w:themeShade="80"/>
        </w:rPr>
        <w:t xml:space="preserve"> 202</w:t>
      </w:r>
      <w:r w:rsidR="00E93441">
        <w:rPr>
          <w:rFonts w:cs="Calibri"/>
          <w:color w:val="1F3864" w:themeColor="accent5" w:themeShade="80"/>
        </w:rPr>
        <w:t>2</w:t>
      </w:r>
      <w:r w:rsidRPr="00DA6BD9">
        <w:rPr>
          <w:rFonts w:cs="Calibri"/>
          <w:color w:val="1F3864" w:themeColor="accent5" w:themeShade="80"/>
        </w:rPr>
        <w:t xml:space="preserve"> de $</w:t>
      </w:r>
      <w:r w:rsidR="00962B61">
        <w:rPr>
          <w:rFonts w:cs="Calibri"/>
          <w:color w:val="1F3864" w:themeColor="accent5" w:themeShade="80"/>
        </w:rPr>
        <w:t>1,726,589.80</w:t>
      </w:r>
    </w:p>
    <w:p w14:paraId="311526A7" w14:textId="4CF97CE3"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E93441">
        <w:rPr>
          <w:rFonts w:cs="Calibri"/>
          <w:color w:val="1F3864" w:themeColor="accent5" w:themeShade="80"/>
        </w:rPr>
        <w:t>2,328,887.91</w:t>
      </w:r>
      <w:r w:rsidRPr="00DA6BD9">
        <w:rPr>
          <w:rFonts w:cs="Calibri"/>
          <w:color w:val="1F3864" w:themeColor="accent5" w:themeShade="80"/>
        </w:rPr>
        <w:t xml:space="preserve"> con una recaudación al </w:t>
      </w:r>
      <w:r w:rsidR="00E93441">
        <w:rPr>
          <w:rFonts w:cs="Calibri"/>
          <w:color w:val="1F3864" w:themeColor="accent5" w:themeShade="80"/>
        </w:rPr>
        <w:t>primer</w:t>
      </w:r>
      <w:r w:rsidRPr="00DA6BD9">
        <w:rPr>
          <w:rFonts w:cs="Calibri"/>
          <w:color w:val="1F3864" w:themeColor="accent5" w:themeShade="80"/>
        </w:rPr>
        <w:t xml:space="preserve"> trimestre 202</w:t>
      </w:r>
      <w:r w:rsidR="00E93441">
        <w:rPr>
          <w:rFonts w:cs="Calibri"/>
          <w:color w:val="1F3864" w:themeColor="accent5" w:themeShade="80"/>
        </w:rPr>
        <w:t>2</w:t>
      </w:r>
      <w:r w:rsidRPr="00DA6BD9">
        <w:rPr>
          <w:rFonts w:cs="Calibri"/>
          <w:color w:val="1F3864" w:themeColor="accent5" w:themeShade="80"/>
        </w:rPr>
        <w:t xml:space="preserve"> de $ </w:t>
      </w:r>
      <w:r w:rsidR="00153BDF">
        <w:rPr>
          <w:rFonts w:cs="Calibri"/>
          <w:color w:val="1F3864" w:themeColor="accent5" w:themeShade="80"/>
        </w:rPr>
        <w:t>0.00</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lastRenderedPageBreak/>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3741732"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sidR="006C2434">
        <w:rPr>
          <w:rFonts w:cs="Calibri"/>
          <w:color w:val="1F3864" w:themeColor="accent5" w:themeShade="80"/>
        </w:rPr>
        <w:t>2</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1E7EC0AF" w:rsidR="007D1E76" w:rsidRDefault="004E4CB5"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7FB2AA59" wp14:editId="2687D465">
            <wp:extent cx="6151880" cy="460057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60057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El Instituto es fideicomisario y fideicomitente B del fideicomiso de inversión y administración, que se identifica administrativamente con el número F/4089637, el cual es un fideicomiso sin estructura y tiene por objeto la Urbanización Progresiva de Fraccionamiento denominado Calquetzani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022AAF"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022AAF"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022AAF"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lastRenderedPageBreak/>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 xml:space="preserve">Cuando por la emisión de una nueva norma, cambie el procedimiento de cuantificación, las políticas contables, los procedimientos de registro y la presentación de la información financiera que afecte la comparabilidad de la información, se deberá revelar claramente en los </w:t>
      </w:r>
      <w:r w:rsidRPr="003C20A1">
        <w:rPr>
          <w:rFonts w:cs="Calibri"/>
          <w:color w:val="1F3864" w:themeColor="accent5" w:themeShade="80"/>
        </w:rPr>
        <w:lastRenderedPageBreak/>
        <w:t>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27F2A1CF"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 xml:space="preserve">Durante el trimestre informado no se </w:t>
      </w:r>
      <w:r w:rsidR="00962B61">
        <w:rPr>
          <w:rFonts w:cs="Calibri"/>
          <w:color w:val="1F3864" w:themeColor="accent5" w:themeShade="80"/>
        </w:rPr>
        <w:t>llevó</w:t>
      </w:r>
      <w:r>
        <w:rPr>
          <w:rFonts w:cs="Calibri"/>
          <w:color w:val="1F3864" w:themeColor="accent5" w:themeShade="80"/>
        </w:rPr>
        <w:t xml:space="preserve">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lastRenderedPageBreak/>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Se cuenta con reservas de tierra en cual se tiene proyectado el desarrollo de un fraccionamiento denominado Los Pirules y la segunda etapa del Fraccionamiento Calquetzani</w:t>
      </w:r>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lastRenderedPageBreak/>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6DDF2096" w:rsidR="00493635" w:rsidRPr="006C1421" w:rsidRDefault="00F27231" w:rsidP="00634763">
            <w:pPr>
              <w:spacing w:after="0" w:line="240" w:lineRule="auto"/>
              <w:jc w:val="right"/>
              <w:rPr>
                <w:rFonts w:eastAsia="Times New Roman"/>
                <w:sz w:val="16"/>
                <w:szCs w:val="16"/>
                <w:lang w:eastAsia="es-MX"/>
              </w:rPr>
            </w:pPr>
            <w:r>
              <w:rPr>
                <w:rFonts w:eastAsia="Times New Roman"/>
                <w:sz w:val="16"/>
                <w:szCs w:val="16"/>
                <w:lang w:eastAsia="es-MX"/>
              </w:rPr>
              <w:t>1,726,589.80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6F2902B0"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6330578B" w14:textId="11C237E3"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509B6941" w14:textId="08EA09B0" w:rsidR="00493635" w:rsidRPr="006C1421" w:rsidRDefault="00F27231" w:rsidP="00634763">
            <w:pPr>
              <w:spacing w:after="0" w:line="240" w:lineRule="auto"/>
              <w:jc w:val="right"/>
              <w:rPr>
                <w:rFonts w:eastAsia="Times New Roman"/>
                <w:sz w:val="16"/>
                <w:szCs w:val="16"/>
                <w:lang w:eastAsia="es-MX"/>
              </w:rPr>
            </w:pPr>
            <w:r>
              <w:rPr>
                <w:rFonts w:eastAsia="Times New Roman"/>
                <w:sz w:val="16"/>
                <w:szCs w:val="16"/>
                <w:lang w:eastAsia="es-MX"/>
              </w:rPr>
              <w:t>8,001,972.32</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370B126C"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4F9F1A20" w14:textId="17B95152"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25BA0F39" w14:textId="0ACF8FD1"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0</w:t>
            </w:r>
          </w:p>
        </w:tc>
      </w:tr>
      <w:tr w:rsidR="0065445B" w:rsidRPr="00002014" w14:paraId="334A81D2" w14:textId="77777777" w:rsidTr="00F27231">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65445B" w:rsidRPr="006C1421" w:rsidRDefault="0065445B" w:rsidP="0065445B">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7064C2A2"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7A13512E"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tcPr>
          <w:p w14:paraId="7016BC81" w14:textId="0022556B" w:rsidR="0065445B" w:rsidRPr="006C1421" w:rsidRDefault="00F27231" w:rsidP="0065445B">
            <w:pPr>
              <w:spacing w:after="0" w:line="240" w:lineRule="auto"/>
              <w:jc w:val="right"/>
              <w:rPr>
                <w:rFonts w:eastAsia="Times New Roman"/>
                <w:b/>
                <w:bCs/>
                <w:sz w:val="16"/>
                <w:szCs w:val="16"/>
                <w:lang w:eastAsia="es-MX"/>
              </w:rPr>
            </w:pPr>
            <w:r>
              <w:rPr>
                <w:rFonts w:eastAsia="Times New Roman"/>
                <w:b/>
                <w:bCs/>
                <w:sz w:val="16"/>
                <w:szCs w:val="16"/>
                <w:lang w:eastAsia="es-MX"/>
              </w:rPr>
              <w:t>9,728,562.12</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624FBAD0"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A3568E0"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3</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3B1FB8E8"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CB2D37">
              <w:rPr>
                <w:rFonts w:ascii="Arial" w:eastAsia="Times New Roman" w:hAnsi="Arial" w:cs="Arial"/>
                <w:b/>
                <w:bCs/>
                <w:color w:val="000000"/>
                <w:sz w:val="18"/>
                <w:szCs w:val="18"/>
                <w:lang w:eastAsia="es-MX"/>
              </w:rPr>
              <w:t>4</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399148DB" w:rsidR="001C2F5A" w:rsidRPr="006C1421" w:rsidRDefault="00CB2D37"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w:t>
            </w:r>
            <w:r w:rsidR="00F27231">
              <w:rPr>
                <w:rFonts w:ascii="Arial" w:eastAsia="Times New Roman" w:hAnsi="Arial" w:cs="Arial"/>
                <w:sz w:val="16"/>
                <w:lang w:eastAsia="es-MX"/>
              </w:rPr>
              <w:t>422,557.84</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AA0D36F" w:rsidR="001C2F5A" w:rsidRPr="006C1421" w:rsidRDefault="006A5239"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 xml:space="preserve">         3</w:t>
            </w:r>
            <w:r w:rsidR="00F27231">
              <w:rPr>
                <w:rFonts w:ascii="Arial" w:eastAsia="Times New Roman" w:hAnsi="Arial" w:cs="Arial"/>
                <w:sz w:val="16"/>
                <w:lang w:eastAsia="es-MX"/>
              </w:rPr>
              <w:t>,559,460.15</w:t>
            </w:r>
          </w:p>
        </w:tc>
      </w:tr>
      <w:tr w:rsidR="00CB2D37"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CB2D37" w:rsidRPr="006C1421" w:rsidRDefault="00CB2D37" w:rsidP="00CB2D3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117AAC26" w:rsidR="00CB2D37" w:rsidRPr="006C1421" w:rsidRDefault="00CB2D37" w:rsidP="00CB2D37">
            <w:pPr>
              <w:spacing w:after="0" w:line="240" w:lineRule="auto"/>
              <w:jc w:val="right"/>
              <w:rPr>
                <w:rFonts w:ascii="Arial" w:eastAsia="Times New Roman" w:hAnsi="Arial" w:cs="Arial"/>
                <w:sz w:val="16"/>
                <w:szCs w:val="16"/>
                <w:lang w:eastAsia="es-MX"/>
              </w:rPr>
            </w:pPr>
            <w:r>
              <w:rPr>
                <w:rFonts w:eastAsia="Times New Roman"/>
                <w:sz w:val="16"/>
                <w:szCs w:val="16"/>
                <w:lang w:eastAsia="es-MX"/>
              </w:rPr>
              <w:t>8,670,000.00</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E06F94" w:rsidR="00CB2D37" w:rsidRPr="006C1421" w:rsidRDefault="006A5239" w:rsidP="006A5239">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8,930,100.00</w:t>
            </w:r>
            <w:r w:rsidR="00CB2D37"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730E8A37" w:rsidR="00CB2D37" w:rsidRPr="006C1421" w:rsidRDefault="006A5239" w:rsidP="00CB2D37">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9,198,003.00</w:t>
            </w:r>
            <w:r w:rsidR="00CB2D37" w:rsidRPr="006C1421">
              <w:rPr>
                <w:rFonts w:ascii="Arial" w:eastAsia="Times New Roman" w:hAnsi="Arial" w:cs="Arial"/>
                <w:sz w:val="16"/>
                <w:lang w:eastAsia="es-MX"/>
              </w:rPr>
              <w:t xml:space="preserve"> </w:t>
            </w:r>
          </w:p>
        </w:tc>
      </w:tr>
      <w:tr w:rsidR="00CB2D37"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CB2D37" w:rsidRPr="006C1421" w:rsidRDefault="00CB2D37" w:rsidP="00CB2D37">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CB2D37" w:rsidRPr="006C1421" w:rsidRDefault="00CB2D37" w:rsidP="00CB2D37">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17,580,729.91</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5D59458F" w14:textId="44CE5B56" w:rsidR="00465334" w:rsidRDefault="00465334" w:rsidP="00CB41C4">
      <w:pPr>
        <w:tabs>
          <w:tab w:val="left" w:leader="underscore" w:pos="9639"/>
        </w:tabs>
        <w:spacing w:after="0" w:line="240" w:lineRule="auto"/>
        <w:jc w:val="both"/>
        <w:rPr>
          <w:rFonts w:cs="Calibri"/>
        </w:rPr>
      </w:pPr>
    </w:p>
    <w:p w14:paraId="3B92CAA8" w14:textId="2740D7A0" w:rsidR="00465334" w:rsidRDefault="00465334" w:rsidP="00CB41C4">
      <w:pPr>
        <w:tabs>
          <w:tab w:val="left" w:leader="underscore" w:pos="9639"/>
        </w:tabs>
        <w:spacing w:after="0" w:line="240" w:lineRule="auto"/>
        <w:jc w:val="both"/>
        <w:rPr>
          <w:rFonts w:cs="Calibri"/>
        </w:rPr>
      </w:pPr>
    </w:p>
    <w:p w14:paraId="6D30CB9F" w14:textId="77777777" w:rsidR="0002319D" w:rsidRPr="0002319D" w:rsidRDefault="0002319D" w:rsidP="0002319D">
      <w:pPr>
        <w:spacing w:after="0" w:line="240" w:lineRule="auto"/>
        <w:jc w:val="both"/>
        <w:rPr>
          <w:rFonts w:ascii="Arial" w:eastAsia="Times New Roman" w:hAnsi="Arial" w:cs="Arial"/>
          <w:sz w:val="20"/>
          <w:szCs w:val="20"/>
          <w:lang w:eastAsia="es-MX"/>
        </w:rPr>
      </w:pPr>
      <w:bookmarkStart w:id="20" w:name="_Hlk109375028"/>
      <w:r w:rsidRPr="0002319D">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7A336E70" w14:textId="425621C5" w:rsidR="00465334" w:rsidRDefault="00465334" w:rsidP="00CB41C4">
      <w:pPr>
        <w:tabs>
          <w:tab w:val="left" w:leader="underscore" w:pos="9639"/>
        </w:tabs>
        <w:spacing w:after="0" w:line="240" w:lineRule="auto"/>
        <w:jc w:val="both"/>
        <w:rPr>
          <w:rFonts w:cs="Calibri"/>
        </w:rPr>
      </w:pPr>
      <w:bookmarkStart w:id="21" w:name="_GoBack"/>
      <w:bookmarkEnd w:id="21"/>
    </w:p>
    <w:bookmarkEnd w:id="20"/>
    <w:p w14:paraId="0FD47B7B" w14:textId="7D5A49E5" w:rsidR="00465334" w:rsidRDefault="00465334" w:rsidP="0002319D">
      <w:pPr>
        <w:tabs>
          <w:tab w:val="left" w:leader="underscore" w:pos="9639"/>
        </w:tabs>
        <w:spacing w:after="0" w:line="240" w:lineRule="auto"/>
        <w:jc w:val="both"/>
        <w:rPr>
          <w:rFonts w:cs="Calibri"/>
        </w:rPr>
      </w:pPr>
    </w:p>
    <w:sectPr w:rsidR="0046533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B84D" w14:textId="77777777" w:rsidR="00022AAF" w:rsidRDefault="00022AAF" w:rsidP="00E00323">
      <w:pPr>
        <w:spacing w:after="0" w:line="240" w:lineRule="auto"/>
      </w:pPr>
      <w:r>
        <w:separator/>
      </w:r>
    </w:p>
  </w:endnote>
  <w:endnote w:type="continuationSeparator" w:id="0">
    <w:p w14:paraId="5AA66730" w14:textId="77777777" w:rsidR="00022AAF" w:rsidRDefault="00022AA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3C20A1" w:rsidRDefault="003C20A1">
        <w:pPr>
          <w:pStyle w:val="Piedepgina"/>
          <w:jc w:val="right"/>
        </w:pPr>
        <w:r>
          <w:fldChar w:fldCharType="begin"/>
        </w:r>
        <w:r>
          <w:instrText>PAGE   \* MERGEFORMAT</w:instrText>
        </w:r>
        <w:r>
          <w:fldChar w:fldCharType="separate"/>
        </w:r>
        <w:r w:rsidR="0002319D" w:rsidRPr="0002319D">
          <w:rPr>
            <w:noProof/>
            <w:lang w:val="es-ES"/>
          </w:rPr>
          <w:t>1</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D63B" w14:textId="77777777" w:rsidR="00022AAF" w:rsidRDefault="00022AAF" w:rsidP="00E00323">
      <w:pPr>
        <w:spacing w:after="0" w:line="240" w:lineRule="auto"/>
      </w:pPr>
      <w:r>
        <w:separator/>
      </w:r>
    </w:p>
  </w:footnote>
  <w:footnote w:type="continuationSeparator" w:id="0">
    <w:p w14:paraId="50590AB6" w14:textId="77777777" w:rsidR="00022AAF" w:rsidRDefault="00022AA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53C702D5" w:rsidR="003C20A1" w:rsidRPr="009530E2" w:rsidRDefault="00022AAF"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5pt;margin-top:-4.35pt;width:57.35pt;height:39.65pt;z-index:251658240;mso-wrap-style:tight">
          <v:imagedata r:id="rId1" o:title=""/>
        </v:shape>
        <o:OLEObject Type="Embed" ProgID="CorelDraw.Graphic.17" ShapeID="_x0000_s2049" DrawAspect="Content" ObjectID="_1720343016"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0A063727" w:rsidR="003C20A1" w:rsidRDefault="003C20A1" w:rsidP="009C785C">
    <w:pPr>
      <w:pStyle w:val="Encabezado"/>
      <w:spacing w:after="0" w:line="240" w:lineRule="auto"/>
      <w:jc w:val="center"/>
    </w:pPr>
    <w:r w:rsidRPr="00A4610E">
      <w:t>CORRESPONDI</w:t>
    </w:r>
    <w:r w:rsidR="00796E9C">
      <w:t>E</w:t>
    </w:r>
    <w:r w:rsidRPr="00A4610E">
      <w:t xml:space="preserve">NTES AL </w:t>
    </w:r>
    <w:r w:rsidR="009C785C">
      <w:t>30</w:t>
    </w:r>
    <w:r w:rsidR="00796E9C">
      <w:t xml:space="preserve"> DE</w:t>
    </w:r>
    <w:r w:rsidR="009C785C">
      <w:t xml:space="preserve"> JUNIO</w:t>
    </w:r>
    <w:r w:rsidR="006C2434">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2AAF"/>
    <w:rsid w:val="0002319D"/>
    <w:rsid w:val="00040D4F"/>
    <w:rsid w:val="00071350"/>
    <w:rsid w:val="00081CD6"/>
    <w:rsid w:val="00084EAE"/>
    <w:rsid w:val="00090DB1"/>
    <w:rsid w:val="00091CE6"/>
    <w:rsid w:val="000B7810"/>
    <w:rsid w:val="000C3365"/>
    <w:rsid w:val="000C5255"/>
    <w:rsid w:val="000D2D62"/>
    <w:rsid w:val="000F7183"/>
    <w:rsid w:val="00103C29"/>
    <w:rsid w:val="0012405A"/>
    <w:rsid w:val="00153BDF"/>
    <w:rsid w:val="00154BA3"/>
    <w:rsid w:val="001973A2"/>
    <w:rsid w:val="001C2F5A"/>
    <w:rsid w:val="001C75F2"/>
    <w:rsid w:val="001D2063"/>
    <w:rsid w:val="001D43E9"/>
    <w:rsid w:val="00232175"/>
    <w:rsid w:val="002A61A5"/>
    <w:rsid w:val="003453CA"/>
    <w:rsid w:val="00365CAF"/>
    <w:rsid w:val="003C20A1"/>
    <w:rsid w:val="003D0DEE"/>
    <w:rsid w:val="00417C8E"/>
    <w:rsid w:val="00435A87"/>
    <w:rsid w:val="00465334"/>
    <w:rsid w:val="00486860"/>
    <w:rsid w:val="00493635"/>
    <w:rsid w:val="004A58C8"/>
    <w:rsid w:val="004C4EBA"/>
    <w:rsid w:val="004E086A"/>
    <w:rsid w:val="004E4CB5"/>
    <w:rsid w:val="004F234D"/>
    <w:rsid w:val="0053262E"/>
    <w:rsid w:val="00535398"/>
    <w:rsid w:val="00537783"/>
    <w:rsid w:val="0054701E"/>
    <w:rsid w:val="005B132D"/>
    <w:rsid w:val="005B5531"/>
    <w:rsid w:val="005D3E43"/>
    <w:rsid w:val="005E231E"/>
    <w:rsid w:val="00620C32"/>
    <w:rsid w:val="0065445B"/>
    <w:rsid w:val="00655052"/>
    <w:rsid w:val="00657009"/>
    <w:rsid w:val="00681C79"/>
    <w:rsid w:val="006A5239"/>
    <w:rsid w:val="006C1421"/>
    <w:rsid w:val="006C2434"/>
    <w:rsid w:val="0070768F"/>
    <w:rsid w:val="007610BC"/>
    <w:rsid w:val="007714AB"/>
    <w:rsid w:val="00796E9C"/>
    <w:rsid w:val="007D1E76"/>
    <w:rsid w:val="007D4484"/>
    <w:rsid w:val="0086459F"/>
    <w:rsid w:val="008840A1"/>
    <w:rsid w:val="008A06FD"/>
    <w:rsid w:val="008A4446"/>
    <w:rsid w:val="008B5ECC"/>
    <w:rsid w:val="008C3BB8"/>
    <w:rsid w:val="008E076C"/>
    <w:rsid w:val="0092765C"/>
    <w:rsid w:val="009276E2"/>
    <w:rsid w:val="009530E2"/>
    <w:rsid w:val="00962B61"/>
    <w:rsid w:val="009A0018"/>
    <w:rsid w:val="009C6CAF"/>
    <w:rsid w:val="009C785C"/>
    <w:rsid w:val="009F6740"/>
    <w:rsid w:val="00A245B1"/>
    <w:rsid w:val="00A4610E"/>
    <w:rsid w:val="00A730E0"/>
    <w:rsid w:val="00AA41E5"/>
    <w:rsid w:val="00AB722B"/>
    <w:rsid w:val="00AE1F6A"/>
    <w:rsid w:val="00B16567"/>
    <w:rsid w:val="00B63DB5"/>
    <w:rsid w:val="00B66334"/>
    <w:rsid w:val="00BB7237"/>
    <w:rsid w:val="00C101F5"/>
    <w:rsid w:val="00C97E1E"/>
    <w:rsid w:val="00CB2D37"/>
    <w:rsid w:val="00CB41C4"/>
    <w:rsid w:val="00CF1316"/>
    <w:rsid w:val="00D13C44"/>
    <w:rsid w:val="00D40FC2"/>
    <w:rsid w:val="00D5018E"/>
    <w:rsid w:val="00D746E1"/>
    <w:rsid w:val="00D975B1"/>
    <w:rsid w:val="00DA6BD9"/>
    <w:rsid w:val="00DE4B2C"/>
    <w:rsid w:val="00DE7C9B"/>
    <w:rsid w:val="00E00323"/>
    <w:rsid w:val="00E670DB"/>
    <w:rsid w:val="00E74967"/>
    <w:rsid w:val="00E7559F"/>
    <w:rsid w:val="00E93441"/>
    <w:rsid w:val="00EA37F5"/>
    <w:rsid w:val="00EA7915"/>
    <w:rsid w:val="00EB0665"/>
    <w:rsid w:val="00EC2FDE"/>
    <w:rsid w:val="00EC7E88"/>
    <w:rsid w:val="00F27231"/>
    <w:rsid w:val="00F46719"/>
    <w:rsid w:val="00F54F6F"/>
    <w:rsid w:val="00F6102D"/>
    <w:rsid w:val="00F613A0"/>
    <w:rsid w:val="00F65A92"/>
    <w:rsid w:val="00FC7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B300C-4AF8-4606-A9DB-210B8100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4506</Words>
  <Characters>24786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cp:revision>
  <cp:lastPrinted>2022-07-22T13:45:00Z</cp:lastPrinted>
  <dcterms:created xsi:type="dcterms:W3CDTF">2022-07-26T17:17:00Z</dcterms:created>
  <dcterms:modified xsi:type="dcterms:W3CDTF">2022-07-26T17:17:00Z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