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1E5FD4B7" w14:textId="2E5625FF" w:rsidR="00AB53F1"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84235525" w:history="1">
            <w:r w:rsidR="00AB53F1" w:rsidRPr="00FD679E">
              <w:rPr>
                <w:rStyle w:val="Hipervnculo"/>
                <w:rFonts w:cstheme="minorHAnsi"/>
                <w:b/>
                <w:noProof/>
              </w:rPr>
              <w:t>1. Introducción:</w:t>
            </w:r>
            <w:r w:rsidR="00AB53F1">
              <w:rPr>
                <w:noProof/>
                <w:webHidden/>
              </w:rPr>
              <w:tab/>
            </w:r>
            <w:r w:rsidR="00AB53F1">
              <w:rPr>
                <w:noProof/>
                <w:webHidden/>
              </w:rPr>
              <w:fldChar w:fldCharType="begin"/>
            </w:r>
            <w:r w:rsidR="00AB53F1">
              <w:rPr>
                <w:noProof/>
                <w:webHidden/>
              </w:rPr>
              <w:instrText xml:space="preserve"> PAGEREF _Toc84235525 \h </w:instrText>
            </w:r>
            <w:r w:rsidR="00AB53F1">
              <w:rPr>
                <w:noProof/>
                <w:webHidden/>
              </w:rPr>
            </w:r>
            <w:r w:rsidR="00AB53F1">
              <w:rPr>
                <w:noProof/>
                <w:webHidden/>
              </w:rPr>
              <w:fldChar w:fldCharType="separate"/>
            </w:r>
            <w:r w:rsidR="00DA7292">
              <w:rPr>
                <w:noProof/>
                <w:webHidden/>
              </w:rPr>
              <w:t>2</w:t>
            </w:r>
            <w:r w:rsidR="00AB53F1">
              <w:rPr>
                <w:noProof/>
                <w:webHidden/>
              </w:rPr>
              <w:fldChar w:fldCharType="end"/>
            </w:r>
          </w:hyperlink>
        </w:p>
        <w:p w14:paraId="5D70277A" w14:textId="5974C8A8" w:rsidR="00AB53F1" w:rsidRDefault="00000000">
          <w:pPr>
            <w:pStyle w:val="TDC2"/>
            <w:tabs>
              <w:tab w:val="right" w:leader="dot" w:pos="9678"/>
            </w:tabs>
            <w:rPr>
              <w:rFonts w:asciiTheme="minorHAnsi" w:eastAsiaTheme="minorEastAsia" w:hAnsiTheme="minorHAnsi" w:cstheme="minorBidi"/>
              <w:noProof/>
              <w:lang w:eastAsia="es-MX"/>
            </w:rPr>
          </w:pPr>
          <w:hyperlink w:anchor="_Toc84235526" w:history="1">
            <w:r w:rsidR="00AB53F1" w:rsidRPr="00FD679E">
              <w:rPr>
                <w:rStyle w:val="Hipervnculo"/>
                <w:rFonts w:cstheme="minorHAnsi"/>
                <w:b/>
                <w:noProof/>
              </w:rPr>
              <w:t>2. Describir el panorama Económico y Financiero:</w:t>
            </w:r>
            <w:r w:rsidR="00AB53F1">
              <w:rPr>
                <w:noProof/>
                <w:webHidden/>
              </w:rPr>
              <w:tab/>
            </w:r>
            <w:r w:rsidR="00AB53F1">
              <w:rPr>
                <w:noProof/>
                <w:webHidden/>
              </w:rPr>
              <w:fldChar w:fldCharType="begin"/>
            </w:r>
            <w:r w:rsidR="00AB53F1">
              <w:rPr>
                <w:noProof/>
                <w:webHidden/>
              </w:rPr>
              <w:instrText xml:space="preserve"> PAGEREF _Toc84235526 \h </w:instrText>
            </w:r>
            <w:r w:rsidR="00AB53F1">
              <w:rPr>
                <w:noProof/>
                <w:webHidden/>
              </w:rPr>
            </w:r>
            <w:r w:rsidR="00AB53F1">
              <w:rPr>
                <w:noProof/>
                <w:webHidden/>
              </w:rPr>
              <w:fldChar w:fldCharType="separate"/>
            </w:r>
            <w:r w:rsidR="00DA7292">
              <w:rPr>
                <w:noProof/>
                <w:webHidden/>
              </w:rPr>
              <w:t>2</w:t>
            </w:r>
            <w:r w:rsidR="00AB53F1">
              <w:rPr>
                <w:noProof/>
                <w:webHidden/>
              </w:rPr>
              <w:fldChar w:fldCharType="end"/>
            </w:r>
          </w:hyperlink>
        </w:p>
        <w:p w14:paraId="32A75999" w14:textId="4866BC41" w:rsidR="00AB53F1" w:rsidRDefault="00000000">
          <w:pPr>
            <w:pStyle w:val="TDC2"/>
            <w:tabs>
              <w:tab w:val="right" w:leader="dot" w:pos="9678"/>
            </w:tabs>
            <w:rPr>
              <w:rFonts w:asciiTheme="minorHAnsi" w:eastAsiaTheme="minorEastAsia" w:hAnsiTheme="minorHAnsi" w:cstheme="minorBidi"/>
              <w:noProof/>
              <w:lang w:eastAsia="es-MX"/>
            </w:rPr>
          </w:pPr>
          <w:hyperlink w:anchor="_Toc84235527" w:history="1">
            <w:r w:rsidR="00AB53F1" w:rsidRPr="00FD679E">
              <w:rPr>
                <w:rStyle w:val="Hipervnculo"/>
                <w:rFonts w:cstheme="minorHAnsi"/>
                <w:b/>
                <w:noProof/>
              </w:rPr>
              <w:t>3. Autorización e Historia:</w:t>
            </w:r>
            <w:r w:rsidR="00AB53F1">
              <w:rPr>
                <w:noProof/>
                <w:webHidden/>
              </w:rPr>
              <w:tab/>
            </w:r>
            <w:r w:rsidR="00AB53F1">
              <w:rPr>
                <w:noProof/>
                <w:webHidden/>
              </w:rPr>
              <w:fldChar w:fldCharType="begin"/>
            </w:r>
            <w:r w:rsidR="00AB53F1">
              <w:rPr>
                <w:noProof/>
                <w:webHidden/>
              </w:rPr>
              <w:instrText xml:space="preserve"> PAGEREF _Toc84235527 \h </w:instrText>
            </w:r>
            <w:r w:rsidR="00AB53F1">
              <w:rPr>
                <w:noProof/>
                <w:webHidden/>
              </w:rPr>
            </w:r>
            <w:r w:rsidR="00AB53F1">
              <w:rPr>
                <w:noProof/>
                <w:webHidden/>
              </w:rPr>
              <w:fldChar w:fldCharType="separate"/>
            </w:r>
            <w:r w:rsidR="00DA7292">
              <w:rPr>
                <w:noProof/>
                <w:webHidden/>
              </w:rPr>
              <w:t>6</w:t>
            </w:r>
            <w:r w:rsidR="00AB53F1">
              <w:rPr>
                <w:noProof/>
                <w:webHidden/>
              </w:rPr>
              <w:fldChar w:fldCharType="end"/>
            </w:r>
          </w:hyperlink>
        </w:p>
        <w:p w14:paraId="59251A19" w14:textId="41D6AEF3" w:rsidR="00AB53F1" w:rsidRDefault="00000000">
          <w:pPr>
            <w:pStyle w:val="TDC2"/>
            <w:tabs>
              <w:tab w:val="right" w:leader="dot" w:pos="9678"/>
            </w:tabs>
            <w:rPr>
              <w:rFonts w:asciiTheme="minorHAnsi" w:eastAsiaTheme="minorEastAsia" w:hAnsiTheme="minorHAnsi" w:cstheme="minorBidi"/>
              <w:noProof/>
              <w:lang w:eastAsia="es-MX"/>
            </w:rPr>
          </w:pPr>
          <w:hyperlink w:anchor="_Toc84235528" w:history="1">
            <w:r w:rsidR="00AB53F1" w:rsidRPr="00FD679E">
              <w:rPr>
                <w:rStyle w:val="Hipervnculo"/>
                <w:rFonts w:cstheme="minorHAnsi"/>
                <w:b/>
                <w:noProof/>
              </w:rPr>
              <w:t>4. Organización y Objeto Social:</w:t>
            </w:r>
            <w:r w:rsidR="00AB53F1">
              <w:rPr>
                <w:noProof/>
                <w:webHidden/>
              </w:rPr>
              <w:tab/>
            </w:r>
            <w:r w:rsidR="00AB53F1">
              <w:rPr>
                <w:noProof/>
                <w:webHidden/>
              </w:rPr>
              <w:fldChar w:fldCharType="begin"/>
            </w:r>
            <w:r w:rsidR="00AB53F1">
              <w:rPr>
                <w:noProof/>
                <w:webHidden/>
              </w:rPr>
              <w:instrText xml:space="preserve"> PAGEREF _Toc84235528 \h </w:instrText>
            </w:r>
            <w:r w:rsidR="00AB53F1">
              <w:rPr>
                <w:noProof/>
                <w:webHidden/>
              </w:rPr>
            </w:r>
            <w:r w:rsidR="00AB53F1">
              <w:rPr>
                <w:noProof/>
                <w:webHidden/>
              </w:rPr>
              <w:fldChar w:fldCharType="separate"/>
            </w:r>
            <w:r w:rsidR="00DA7292">
              <w:rPr>
                <w:noProof/>
                <w:webHidden/>
              </w:rPr>
              <w:t>6</w:t>
            </w:r>
            <w:r w:rsidR="00AB53F1">
              <w:rPr>
                <w:noProof/>
                <w:webHidden/>
              </w:rPr>
              <w:fldChar w:fldCharType="end"/>
            </w:r>
          </w:hyperlink>
        </w:p>
        <w:p w14:paraId="7F6710E9" w14:textId="50864660" w:rsidR="00AB53F1" w:rsidRDefault="00000000">
          <w:pPr>
            <w:pStyle w:val="TDC2"/>
            <w:tabs>
              <w:tab w:val="right" w:leader="dot" w:pos="9678"/>
            </w:tabs>
            <w:rPr>
              <w:rFonts w:asciiTheme="minorHAnsi" w:eastAsiaTheme="minorEastAsia" w:hAnsiTheme="minorHAnsi" w:cstheme="minorBidi"/>
              <w:noProof/>
              <w:lang w:eastAsia="es-MX"/>
            </w:rPr>
          </w:pPr>
          <w:hyperlink w:anchor="_Toc84235529" w:history="1">
            <w:r w:rsidR="00AB53F1" w:rsidRPr="00FD679E">
              <w:rPr>
                <w:rStyle w:val="Hipervnculo"/>
                <w:rFonts w:cstheme="minorHAnsi"/>
                <w:b/>
                <w:noProof/>
              </w:rPr>
              <w:t>5. Bases de Preparación de los Estados Financieros:</w:t>
            </w:r>
            <w:r w:rsidR="00AB53F1">
              <w:rPr>
                <w:noProof/>
                <w:webHidden/>
              </w:rPr>
              <w:tab/>
            </w:r>
            <w:r w:rsidR="00AB53F1">
              <w:rPr>
                <w:noProof/>
                <w:webHidden/>
              </w:rPr>
              <w:fldChar w:fldCharType="begin"/>
            </w:r>
            <w:r w:rsidR="00AB53F1">
              <w:rPr>
                <w:noProof/>
                <w:webHidden/>
              </w:rPr>
              <w:instrText xml:space="preserve"> PAGEREF _Toc84235529 \h </w:instrText>
            </w:r>
            <w:r w:rsidR="00AB53F1">
              <w:rPr>
                <w:noProof/>
                <w:webHidden/>
              </w:rPr>
            </w:r>
            <w:r w:rsidR="00AB53F1">
              <w:rPr>
                <w:noProof/>
                <w:webHidden/>
              </w:rPr>
              <w:fldChar w:fldCharType="separate"/>
            </w:r>
            <w:r w:rsidR="00DA7292">
              <w:rPr>
                <w:noProof/>
                <w:webHidden/>
              </w:rPr>
              <w:t>7</w:t>
            </w:r>
            <w:r w:rsidR="00AB53F1">
              <w:rPr>
                <w:noProof/>
                <w:webHidden/>
              </w:rPr>
              <w:fldChar w:fldCharType="end"/>
            </w:r>
          </w:hyperlink>
        </w:p>
        <w:p w14:paraId="3000C710" w14:textId="17575A64" w:rsidR="00AB53F1" w:rsidRDefault="00000000">
          <w:pPr>
            <w:pStyle w:val="TDC2"/>
            <w:tabs>
              <w:tab w:val="right" w:leader="dot" w:pos="9678"/>
            </w:tabs>
            <w:rPr>
              <w:rFonts w:asciiTheme="minorHAnsi" w:eastAsiaTheme="minorEastAsia" w:hAnsiTheme="minorHAnsi" w:cstheme="minorBidi"/>
              <w:noProof/>
              <w:lang w:eastAsia="es-MX"/>
            </w:rPr>
          </w:pPr>
          <w:hyperlink w:anchor="_Toc84235530" w:history="1">
            <w:r w:rsidR="00AB53F1" w:rsidRPr="00FD679E">
              <w:rPr>
                <w:rStyle w:val="Hipervnculo"/>
                <w:rFonts w:cstheme="minorHAnsi"/>
                <w:b/>
                <w:noProof/>
              </w:rPr>
              <w:t>6. Políticas de Contabilidad Significativas:</w:t>
            </w:r>
            <w:r w:rsidR="00AB53F1">
              <w:rPr>
                <w:noProof/>
                <w:webHidden/>
              </w:rPr>
              <w:tab/>
            </w:r>
            <w:r w:rsidR="00AB53F1">
              <w:rPr>
                <w:noProof/>
                <w:webHidden/>
              </w:rPr>
              <w:fldChar w:fldCharType="begin"/>
            </w:r>
            <w:r w:rsidR="00AB53F1">
              <w:rPr>
                <w:noProof/>
                <w:webHidden/>
              </w:rPr>
              <w:instrText xml:space="preserve"> PAGEREF _Toc84235530 \h </w:instrText>
            </w:r>
            <w:r w:rsidR="00AB53F1">
              <w:rPr>
                <w:noProof/>
                <w:webHidden/>
              </w:rPr>
            </w:r>
            <w:r w:rsidR="00AB53F1">
              <w:rPr>
                <w:noProof/>
                <w:webHidden/>
              </w:rPr>
              <w:fldChar w:fldCharType="separate"/>
            </w:r>
            <w:r w:rsidR="00DA7292">
              <w:rPr>
                <w:noProof/>
                <w:webHidden/>
              </w:rPr>
              <w:t>8</w:t>
            </w:r>
            <w:r w:rsidR="00AB53F1">
              <w:rPr>
                <w:noProof/>
                <w:webHidden/>
              </w:rPr>
              <w:fldChar w:fldCharType="end"/>
            </w:r>
          </w:hyperlink>
        </w:p>
        <w:p w14:paraId="28E17393" w14:textId="0ACE0463" w:rsidR="00AB53F1" w:rsidRDefault="00000000">
          <w:pPr>
            <w:pStyle w:val="TDC2"/>
            <w:tabs>
              <w:tab w:val="right" w:leader="dot" w:pos="9678"/>
            </w:tabs>
            <w:rPr>
              <w:rFonts w:asciiTheme="minorHAnsi" w:eastAsiaTheme="minorEastAsia" w:hAnsiTheme="minorHAnsi" w:cstheme="minorBidi"/>
              <w:noProof/>
              <w:lang w:eastAsia="es-MX"/>
            </w:rPr>
          </w:pPr>
          <w:hyperlink w:anchor="_Toc84235531" w:history="1">
            <w:r w:rsidR="00AB53F1" w:rsidRPr="00FD679E">
              <w:rPr>
                <w:rStyle w:val="Hipervnculo"/>
                <w:rFonts w:cstheme="minorHAnsi"/>
                <w:b/>
                <w:noProof/>
              </w:rPr>
              <w:t>7. Posición en Moneda Extranjera y Protección por Riesgo Cambiario:</w:t>
            </w:r>
            <w:r w:rsidR="00AB53F1">
              <w:rPr>
                <w:noProof/>
                <w:webHidden/>
              </w:rPr>
              <w:tab/>
            </w:r>
            <w:r w:rsidR="00AB53F1">
              <w:rPr>
                <w:noProof/>
                <w:webHidden/>
              </w:rPr>
              <w:fldChar w:fldCharType="begin"/>
            </w:r>
            <w:r w:rsidR="00AB53F1">
              <w:rPr>
                <w:noProof/>
                <w:webHidden/>
              </w:rPr>
              <w:instrText xml:space="preserve"> PAGEREF _Toc84235531 \h </w:instrText>
            </w:r>
            <w:r w:rsidR="00AB53F1">
              <w:rPr>
                <w:noProof/>
                <w:webHidden/>
              </w:rPr>
            </w:r>
            <w:r w:rsidR="00AB53F1">
              <w:rPr>
                <w:noProof/>
                <w:webHidden/>
              </w:rPr>
              <w:fldChar w:fldCharType="separate"/>
            </w:r>
            <w:r w:rsidR="00DA7292">
              <w:rPr>
                <w:noProof/>
                <w:webHidden/>
              </w:rPr>
              <w:t>9</w:t>
            </w:r>
            <w:r w:rsidR="00AB53F1">
              <w:rPr>
                <w:noProof/>
                <w:webHidden/>
              </w:rPr>
              <w:fldChar w:fldCharType="end"/>
            </w:r>
          </w:hyperlink>
        </w:p>
        <w:p w14:paraId="6C1BA22B" w14:textId="1A2CB51B" w:rsidR="00AB53F1" w:rsidRDefault="00000000">
          <w:pPr>
            <w:pStyle w:val="TDC2"/>
            <w:tabs>
              <w:tab w:val="right" w:leader="dot" w:pos="9678"/>
            </w:tabs>
            <w:rPr>
              <w:rFonts w:asciiTheme="minorHAnsi" w:eastAsiaTheme="minorEastAsia" w:hAnsiTheme="minorHAnsi" w:cstheme="minorBidi"/>
              <w:noProof/>
              <w:lang w:eastAsia="es-MX"/>
            </w:rPr>
          </w:pPr>
          <w:hyperlink w:anchor="_Toc84235532" w:history="1">
            <w:r w:rsidR="00AB53F1" w:rsidRPr="00FD679E">
              <w:rPr>
                <w:rStyle w:val="Hipervnculo"/>
                <w:rFonts w:cstheme="minorHAnsi"/>
                <w:b/>
                <w:noProof/>
              </w:rPr>
              <w:t>8. Reporte Analítico del Activo:</w:t>
            </w:r>
            <w:r w:rsidR="00AB53F1">
              <w:rPr>
                <w:noProof/>
                <w:webHidden/>
              </w:rPr>
              <w:tab/>
            </w:r>
            <w:r w:rsidR="00AB53F1">
              <w:rPr>
                <w:noProof/>
                <w:webHidden/>
              </w:rPr>
              <w:fldChar w:fldCharType="begin"/>
            </w:r>
            <w:r w:rsidR="00AB53F1">
              <w:rPr>
                <w:noProof/>
                <w:webHidden/>
              </w:rPr>
              <w:instrText xml:space="preserve"> PAGEREF _Toc84235532 \h </w:instrText>
            </w:r>
            <w:r w:rsidR="00AB53F1">
              <w:rPr>
                <w:noProof/>
                <w:webHidden/>
              </w:rPr>
            </w:r>
            <w:r w:rsidR="00AB53F1">
              <w:rPr>
                <w:noProof/>
                <w:webHidden/>
              </w:rPr>
              <w:fldChar w:fldCharType="separate"/>
            </w:r>
            <w:r w:rsidR="00DA7292">
              <w:rPr>
                <w:noProof/>
                <w:webHidden/>
              </w:rPr>
              <w:t>10</w:t>
            </w:r>
            <w:r w:rsidR="00AB53F1">
              <w:rPr>
                <w:noProof/>
                <w:webHidden/>
              </w:rPr>
              <w:fldChar w:fldCharType="end"/>
            </w:r>
          </w:hyperlink>
        </w:p>
        <w:p w14:paraId="7B294EAB" w14:textId="08CBE4F8" w:rsidR="00AB53F1" w:rsidRDefault="00000000">
          <w:pPr>
            <w:pStyle w:val="TDC2"/>
            <w:tabs>
              <w:tab w:val="right" w:leader="dot" w:pos="9678"/>
            </w:tabs>
            <w:rPr>
              <w:rFonts w:asciiTheme="minorHAnsi" w:eastAsiaTheme="minorEastAsia" w:hAnsiTheme="minorHAnsi" w:cstheme="minorBidi"/>
              <w:noProof/>
              <w:lang w:eastAsia="es-MX"/>
            </w:rPr>
          </w:pPr>
          <w:hyperlink w:anchor="_Toc84235533" w:history="1">
            <w:r w:rsidR="00AB53F1" w:rsidRPr="00FD679E">
              <w:rPr>
                <w:rStyle w:val="Hipervnculo"/>
                <w:rFonts w:cstheme="minorHAnsi"/>
                <w:b/>
                <w:noProof/>
              </w:rPr>
              <w:t>9. Fideicomisos, Mandatos y Análogos:</w:t>
            </w:r>
            <w:r w:rsidR="00AB53F1">
              <w:rPr>
                <w:noProof/>
                <w:webHidden/>
              </w:rPr>
              <w:tab/>
            </w:r>
            <w:r w:rsidR="00AB53F1">
              <w:rPr>
                <w:noProof/>
                <w:webHidden/>
              </w:rPr>
              <w:fldChar w:fldCharType="begin"/>
            </w:r>
            <w:r w:rsidR="00AB53F1">
              <w:rPr>
                <w:noProof/>
                <w:webHidden/>
              </w:rPr>
              <w:instrText xml:space="preserve"> PAGEREF _Toc84235533 \h </w:instrText>
            </w:r>
            <w:r w:rsidR="00AB53F1">
              <w:rPr>
                <w:noProof/>
                <w:webHidden/>
              </w:rPr>
            </w:r>
            <w:r w:rsidR="00AB53F1">
              <w:rPr>
                <w:noProof/>
                <w:webHidden/>
              </w:rPr>
              <w:fldChar w:fldCharType="separate"/>
            </w:r>
            <w:r w:rsidR="00DA7292">
              <w:rPr>
                <w:noProof/>
                <w:webHidden/>
              </w:rPr>
              <w:t>11</w:t>
            </w:r>
            <w:r w:rsidR="00AB53F1">
              <w:rPr>
                <w:noProof/>
                <w:webHidden/>
              </w:rPr>
              <w:fldChar w:fldCharType="end"/>
            </w:r>
          </w:hyperlink>
        </w:p>
        <w:p w14:paraId="7ABBEA7B" w14:textId="6CCE92D9" w:rsidR="00AB53F1" w:rsidRDefault="00000000">
          <w:pPr>
            <w:pStyle w:val="TDC2"/>
            <w:tabs>
              <w:tab w:val="right" w:leader="dot" w:pos="9678"/>
            </w:tabs>
            <w:rPr>
              <w:rFonts w:asciiTheme="minorHAnsi" w:eastAsiaTheme="minorEastAsia" w:hAnsiTheme="minorHAnsi" w:cstheme="minorBidi"/>
              <w:noProof/>
              <w:lang w:eastAsia="es-MX"/>
            </w:rPr>
          </w:pPr>
          <w:hyperlink w:anchor="_Toc84235534" w:history="1">
            <w:r w:rsidR="00AB53F1" w:rsidRPr="00FD679E">
              <w:rPr>
                <w:rStyle w:val="Hipervnculo"/>
                <w:rFonts w:cstheme="minorHAnsi"/>
                <w:b/>
                <w:noProof/>
              </w:rPr>
              <w:t>11. Información sobre la Deuda y el Reporte Analítico de la Deuda:</w:t>
            </w:r>
            <w:r w:rsidR="00AB53F1">
              <w:rPr>
                <w:noProof/>
                <w:webHidden/>
              </w:rPr>
              <w:tab/>
            </w:r>
            <w:r w:rsidR="00AB53F1">
              <w:rPr>
                <w:noProof/>
                <w:webHidden/>
              </w:rPr>
              <w:fldChar w:fldCharType="begin"/>
            </w:r>
            <w:r w:rsidR="00AB53F1">
              <w:rPr>
                <w:noProof/>
                <w:webHidden/>
              </w:rPr>
              <w:instrText xml:space="preserve"> PAGEREF _Toc84235534 \h </w:instrText>
            </w:r>
            <w:r w:rsidR="00AB53F1">
              <w:rPr>
                <w:noProof/>
                <w:webHidden/>
              </w:rPr>
            </w:r>
            <w:r w:rsidR="00AB53F1">
              <w:rPr>
                <w:noProof/>
                <w:webHidden/>
              </w:rPr>
              <w:fldChar w:fldCharType="separate"/>
            </w:r>
            <w:r w:rsidR="00DA7292">
              <w:rPr>
                <w:noProof/>
                <w:webHidden/>
              </w:rPr>
              <w:t>11</w:t>
            </w:r>
            <w:r w:rsidR="00AB53F1">
              <w:rPr>
                <w:noProof/>
                <w:webHidden/>
              </w:rPr>
              <w:fldChar w:fldCharType="end"/>
            </w:r>
          </w:hyperlink>
        </w:p>
        <w:p w14:paraId="161F7456" w14:textId="19A96585" w:rsidR="00AB53F1" w:rsidRDefault="00000000">
          <w:pPr>
            <w:pStyle w:val="TDC2"/>
            <w:tabs>
              <w:tab w:val="right" w:leader="dot" w:pos="9678"/>
            </w:tabs>
            <w:rPr>
              <w:rFonts w:asciiTheme="minorHAnsi" w:eastAsiaTheme="minorEastAsia" w:hAnsiTheme="minorHAnsi" w:cstheme="minorBidi"/>
              <w:noProof/>
              <w:lang w:eastAsia="es-MX"/>
            </w:rPr>
          </w:pPr>
          <w:hyperlink w:anchor="_Toc84235535" w:history="1">
            <w:r w:rsidR="00AB53F1" w:rsidRPr="00FD679E">
              <w:rPr>
                <w:rStyle w:val="Hipervnculo"/>
                <w:rFonts w:cstheme="minorHAnsi"/>
                <w:b/>
                <w:noProof/>
              </w:rPr>
              <w:t>12. Calificaciones otorgadas:</w:t>
            </w:r>
            <w:r w:rsidR="00AB53F1">
              <w:rPr>
                <w:noProof/>
                <w:webHidden/>
              </w:rPr>
              <w:tab/>
            </w:r>
            <w:r w:rsidR="00AB53F1">
              <w:rPr>
                <w:noProof/>
                <w:webHidden/>
              </w:rPr>
              <w:fldChar w:fldCharType="begin"/>
            </w:r>
            <w:r w:rsidR="00AB53F1">
              <w:rPr>
                <w:noProof/>
                <w:webHidden/>
              </w:rPr>
              <w:instrText xml:space="preserve"> PAGEREF _Toc84235535 \h </w:instrText>
            </w:r>
            <w:r w:rsidR="00AB53F1">
              <w:rPr>
                <w:noProof/>
                <w:webHidden/>
              </w:rPr>
            </w:r>
            <w:r w:rsidR="00AB53F1">
              <w:rPr>
                <w:noProof/>
                <w:webHidden/>
              </w:rPr>
              <w:fldChar w:fldCharType="separate"/>
            </w:r>
            <w:r w:rsidR="00DA7292">
              <w:rPr>
                <w:noProof/>
                <w:webHidden/>
              </w:rPr>
              <w:t>12</w:t>
            </w:r>
            <w:r w:rsidR="00AB53F1">
              <w:rPr>
                <w:noProof/>
                <w:webHidden/>
              </w:rPr>
              <w:fldChar w:fldCharType="end"/>
            </w:r>
          </w:hyperlink>
        </w:p>
        <w:p w14:paraId="4FBEC043" w14:textId="60CA4CE8" w:rsidR="00AB53F1" w:rsidRDefault="00000000">
          <w:pPr>
            <w:pStyle w:val="TDC2"/>
            <w:tabs>
              <w:tab w:val="right" w:leader="dot" w:pos="9678"/>
            </w:tabs>
            <w:rPr>
              <w:rFonts w:asciiTheme="minorHAnsi" w:eastAsiaTheme="minorEastAsia" w:hAnsiTheme="minorHAnsi" w:cstheme="minorBidi"/>
              <w:noProof/>
              <w:lang w:eastAsia="es-MX"/>
            </w:rPr>
          </w:pPr>
          <w:hyperlink w:anchor="_Toc84235536" w:history="1">
            <w:r w:rsidR="00AB53F1" w:rsidRPr="00FD679E">
              <w:rPr>
                <w:rStyle w:val="Hipervnculo"/>
                <w:rFonts w:cstheme="minorHAnsi"/>
                <w:b/>
                <w:noProof/>
              </w:rPr>
              <w:t>13. Proceso de Mejora:</w:t>
            </w:r>
            <w:r w:rsidR="00AB53F1">
              <w:rPr>
                <w:noProof/>
                <w:webHidden/>
              </w:rPr>
              <w:tab/>
            </w:r>
            <w:r w:rsidR="00AB53F1">
              <w:rPr>
                <w:noProof/>
                <w:webHidden/>
              </w:rPr>
              <w:fldChar w:fldCharType="begin"/>
            </w:r>
            <w:r w:rsidR="00AB53F1">
              <w:rPr>
                <w:noProof/>
                <w:webHidden/>
              </w:rPr>
              <w:instrText xml:space="preserve"> PAGEREF _Toc84235536 \h </w:instrText>
            </w:r>
            <w:r w:rsidR="00AB53F1">
              <w:rPr>
                <w:noProof/>
                <w:webHidden/>
              </w:rPr>
            </w:r>
            <w:r w:rsidR="00AB53F1">
              <w:rPr>
                <w:noProof/>
                <w:webHidden/>
              </w:rPr>
              <w:fldChar w:fldCharType="separate"/>
            </w:r>
            <w:r w:rsidR="00DA7292">
              <w:rPr>
                <w:noProof/>
                <w:webHidden/>
              </w:rPr>
              <w:t>12</w:t>
            </w:r>
            <w:r w:rsidR="00AB53F1">
              <w:rPr>
                <w:noProof/>
                <w:webHidden/>
              </w:rPr>
              <w:fldChar w:fldCharType="end"/>
            </w:r>
          </w:hyperlink>
        </w:p>
        <w:p w14:paraId="63E2ACF2" w14:textId="1992AB23" w:rsidR="00AB53F1" w:rsidRDefault="00000000">
          <w:pPr>
            <w:pStyle w:val="TDC2"/>
            <w:tabs>
              <w:tab w:val="right" w:leader="dot" w:pos="9678"/>
            </w:tabs>
            <w:rPr>
              <w:rFonts w:asciiTheme="minorHAnsi" w:eastAsiaTheme="minorEastAsia" w:hAnsiTheme="minorHAnsi" w:cstheme="minorBidi"/>
              <w:noProof/>
              <w:lang w:eastAsia="es-MX"/>
            </w:rPr>
          </w:pPr>
          <w:hyperlink w:anchor="_Toc84235537" w:history="1">
            <w:r w:rsidR="00AB53F1" w:rsidRPr="00FD679E">
              <w:rPr>
                <w:rStyle w:val="Hipervnculo"/>
                <w:rFonts w:cstheme="minorHAnsi"/>
                <w:b/>
                <w:noProof/>
              </w:rPr>
              <w:t>14. Información por Segmentos:</w:t>
            </w:r>
            <w:r w:rsidR="00AB53F1">
              <w:rPr>
                <w:noProof/>
                <w:webHidden/>
              </w:rPr>
              <w:tab/>
            </w:r>
            <w:r w:rsidR="00AB53F1">
              <w:rPr>
                <w:noProof/>
                <w:webHidden/>
              </w:rPr>
              <w:fldChar w:fldCharType="begin"/>
            </w:r>
            <w:r w:rsidR="00AB53F1">
              <w:rPr>
                <w:noProof/>
                <w:webHidden/>
              </w:rPr>
              <w:instrText xml:space="preserve"> PAGEREF _Toc84235537 \h </w:instrText>
            </w:r>
            <w:r w:rsidR="00AB53F1">
              <w:rPr>
                <w:noProof/>
                <w:webHidden/>
              </w:rPr>
            </w:r>
            <w:r w:rsidR="00AB53F1">
              <w:rPr>
                <w:noProof/>
                <w:webHidden/>
              </w:rPr>
              <w:fldChar w:fldCharType="separate"/>
            </w:r>
            <w:r w:rsidR="00DA7292">
              <w:rPr>
                <w:noProof/>
                <w:webHidden/>
              </w:rPr>
              <w:t>12</w:t>
            </w:r>
            <w:r w:rsidR="00AB53F1">
              <w:rPr>
                <w:noProof/>
                <w:webHidden/>
              </w:rPr>
              <w:fldChar w:fldCharType="end"/>
            </w:r>
          </w:hyperlink>
        </w:p>
        <w:p w14:paraId="0A119B41" w14:textId="0ADB42C3" w:rsidR="00AB53F1" w:rsidRDefault="00000000">
          <w:pPr>
            <w:pStyle w:val="TDC2"/>
            <w:tabs>
              <w:tab w:val="right" w:leader="dot" w:pos="9678"/>
            </w:tabs>
            <w:rPr>
              <w:rFonts w:asciiTheme="minorHAnsi" w:eastAsiaTheme="minorEastAsia" w:hAnsiTheme="minorHAnsi" w:cstheme="minorBidi"/>
              <w:noProof/>
              <w:lang w:eastAsia="es-MX"/>
            </w:rPr>
          </w:pPr>
          <w:hyperlink w:anchor="_Toc84235538" w:history="1">
            <w:r w:rsidR="00AB53F1" w:rsidRPr="00FD679E">
              <w:rPr>
                <w:rStyle w:val="Hipervnculo"/>
                <w:rFonts w:cstheme="minorHAnsi"/>
                <w:b/>
                <w:noProof/>
              </w:rPr>
              <w:t>15. Eventos Posteriores al Cierre:</w:t>
            </w:r>
            <w:r w:rsidR="00AB53F1">
              <w:rPr>
                <w:noProof/>
                <w:webHidden/>
              </w:rPr>
              <w:tab/>
            </w:r>
            <w:r w:rsidR="00AB53F1">
              <w:rPr>
                <w:noProof/>
                <w:webHidden/>
              </w:rPr>
              <w:fldChar w:fldCharType="begin"/>
            </w:r>
            <w:r w:rsidR="00AB53F1">
              <w:rPr>
                <w:noProof/>
                <w:webHidden/>
              </w:rPr>
              <w:instrText xml:space="preserve"> PAGEREF _Toc84235538 \h </w:instrText>
            </w:r>
            <w:r w:rsidR="00AB53F1">
              <w:rPr>
                <w:noProof/>
                <w:webHidden/>
              </w:rPr>
            </w:r>
            <w:r w:rsidR="00AB53F1">
              <w:rPr>
                <w:noProof/>
                <w:webHidden/>
              </w:rPr>
              <w:fldChar w:fldCharType="separate"/>
            </w:r>
            <w:r w:rsidR="00DA7292">
              <w:rPr>
                <w:noProof/>
                <w:webHidden/>
              </w:rPr>
              <w:t>13</w:t>
            </w:r>
            <w:r w:rsidR="00AB53F1">
              <w:rPr>
                <w:noProof/>
                <w:webHidden/>
              </w:rPr>
              <w:fldChar w:fldCharType="end"/>
            </w:r>
          </w:hyperlink>
        </w:p>
        <w:p w14:paraId="607DD032" w14:textId="5759164B" w:rsidR="00AB53F1" w:rsidRDefault="00000000">
          <w:pPr>
            <w:pStyle w:val="TDC2"/>
            <w:tabs>
              <w:tab w:val="right" w:leader="dot" w:pos="9678"/>
            </w:tabs>
            <w:rPr>
              <w:rFonts w:asciiTheme="minorHAnsi" w:eastAsiaTheme="minorEastAsia" w:hAnsiTheme="minorHAnsi" w:cstheme="minorBidi"/>
              <w:noProof/>
              <w:lang w:eastAsia="es-MX"/>
            </w:rPr>
          </w:pPr>
          <w:hyperlink w:anchor="_Toc84235539" w:history="1">
            <w:r w:rsidR="00AB53F1" w:rsidRPr="00FD679E">
              <w:rPr>
                <w:rStyle w:val="Hipervnculo"/>
                <w:rFonts w:cstheme="minorHAnsi"/>
                <w:b/>
                <w:noProof/>
              </w:rPr>
              <w:t>16. Partes Relacionadas:</w:t>
            </w:r>
            <w:r w:rsidR="00AB53F1">
              <w:rPr>
                <w:noProof/>
                <w:webHidden/>
              </w:rPr>
              <w:tab/>
            </w:r>
            <w:r w:rsidR="00AB53F1">
              <w:rPr>
                <w:noProof/>
                <w:webHidden/>
              </w:rPr>
              <w:fldChar w:fldCharType="begin"/>
            </w:r>
            <w:r w:rsidR="00AB53F1">
              <w:rPr>
                <w:noProof/>
                <w:webHidden/>
              </w:rPr>
              <w:instrText xml:space="preserve"> PAGEREF _Toc84235539 \h </w:instrText>
            </w:r>
            <w:r w:rsidR="00AB53F1">
              <w:rPr>
                <w:noProof/>
                <w:webHidden/>
              </w:rPr>
            </w:r>
            <w:r w:rsidR="00AB53F1">
              <w:rPr>
                <w:noProof/>
                <w:webHidden/>
              </w:rPr>
              <w:fldChar w:fldCharType="separate"/>
            </w:r>
            <w:r w:rsidR="00DA7292">
              <w:rPr>
                <w:noProof/>
                <w:webHidden/>
              </w:rPr>
              <w:t>13</w:t>
            </w:r>
            <w:r w:rsidR="00AB53F1">
              <w:rPr>
                <w:noProof/>
                <w:webHidden/>
              </w:rPr>
              <w:fldChar w:fldCharType="end"/>
            </w:r>
          </w:hyperlink>
        </w:p>
        <w:p w14:paraId="55A90839" w14:textId="4C730741" w:rsidR="00AB53F1" w:rsidRDefault="00000000">
          <w:pPr>
            <w:pStyle w:val="TDC2"/>
            <w:tabs>
              <w:tab w:val="right" w:leader="dot" w:pos="9678"/>
            </w:tabs>
            <w:rPr>
              <w:rFonts w:asciiTheme="minorHAnsi" w:eastAsiaTheme="minorEastAsia" w:hAnsiTheme="minorHAnsi" w:cstheme="minorBidi"/>
              <w:noProof/>
              <w:lang w:eastAsia="es-MX"/>
            </w:rPr>
          </w:pPr>
          <w:hyperlink w:anchor="_Toc84235540" w:history="1">
            <w:r w:rsidR="00AB53F1" w:rsidRPr="00FD679E">
              <w:rPr>
                <w:rStyle w:val="Hipervnculo"/>
                <w:rFonts w:cstheme="minorHAnsi"/>
                <w:b/>
                <w:noProof/>
              </w:rPr>
              <w:t>17. Responsabilidad Sobre la Presentación Razonable de la Información Contable:</w:t>
            </w:r>
            <w:r w:rsidR="00AB53F1">
              <w:rPr>
                <w:noProof/>
                <w:webHidden/>
              </w:rPr>
              <w:tab/>
            </w:r>
            <w:r w:rsidR="00AB53F1">
              <w:rPr>
                <w:noProof/>
                <w:webHidden/>
              </w:rPr>
              <w:fldChar w:fldCharType="begin"/>
            </w:r>
            <w:r w:rsidR="00AB53F1">
              <w:rPr>
                <w:noProof/>
                <w:webHidden/>
              </w:rPr>
              <w:instrText xml:space="preserve"> PAGEREF _Toc84235540 \h </w:instrText>
            </w:r>
            <w:r w:rsidR="00AB53F1">
              <w:rPr>
                <w:noProof/>
                <w:webHidden/>
              </w:rPr>
            </w:r>
            <w:r w:rsidR="00AB53F1">
              <w:rPr>
                <w:noProof/>
                <w:webHidden/>
              </w:rPr>
              <w:fldChar w:fldCharType="separate"/>
            </w:r>
            <w:r w:rsidR="00DA7292">
              <w:rPr>
                <w:noProof/>
                <w:webHidden/>
              </w:rPr>
              <w:t>13</w:t>
            </w:r>
            <w:r w:rsidR="00AB53F1">
              <w:rPr>
                <w:noProof/>
                <w:webHidden/>
              </w:rPr>
              <w:fldChar w:fldCharType="end"/>
            </w:r>
          </w:hyperlink>
        </w:p>
        <w:p w14:paraId="43551857" w14:textId="50AD486D"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84235525"/>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2A5992" w14:textId="77777777" w:rsidR="0074332C" w:rsidRPr="00E7588A" w:rsidRDefault="0074332C" w:rsidP="0074332C">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8423552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021BEF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9A80E94" w14:textId="1F441F8E" w:rsidR="00DD0452" w:rsidRDefault="00DD0452" w:rsidP="00CB41C4">
      <w:pPr>
        <w:tabs>
          <w:tab w:val="left" w:leader="underscore" w:pos="9639"/>
        </w:tabs>
        <w:spacing w:after="0" w:line="240" w:lineRule="auto"/>
        <w:jc w:val="both"/>
        <w:rPr>
          <w:rFonts w:cs="Calibri"/>
        </w:rPr>
      </w:pPr>
    </w:p>
    <w:p w14:paraId="7CF6FBBA" w14:textId="77777777" w:rsidR="00DD0452" w:rsidRPr="00DD0452" w:rsidRDefault="00DD0452" w:rsidP="00DD0452">
      <w:pPr>
        <w:autoSpaceDE w:val="0"/>
        <w:autoSpaceDN w:val="0"/>
        <w:adjustRightInd w:val="0"/>
        <w:jc w:val="both"/>
        <w:rPr>
          <w:u w:val="single"/>
        </w:rPr>
      </w:pPr>
      <w:r w:rsidRPr="00DD0452">
        <w:rPr>
          <w:u w:val="single"/>
        </w:rPr>
        <w:t xml:space="preserve">El panorama económico global y la actividad económica en México dan signos de recuperación tras la propagación de la pandemia de COVID-19 y los efectos económicos adversos que se derivaron de las medidas sanitarias implementadas para contrarrestar su propagación. Se prevé que, la economía recobre su nivel previo a la pandemia, apuntalada por el restablecimiento del dinamismo del mercado interno, soportado por la vacunación y la reapertura de las actividades económicas. Otros factores que señala el documento en torno a la recuperación de la economía mexicana es la inversión en infraestructura, una mayor penetración del sector financiero, la reducción en las brechas que restringen el desarrollo, así como la mayor integración comercial mediante el Tratado entre México, Estados Unidos y Canadá (T-MEC). </w:t>
      </w:r>
    </w:p>
    <w:p w14:paraId="440FB6FC" w14:textId="77777777" w:rsidR="00DD0452" w:rsidRPr="00DD0452" w:rsidRDefault="00DD0452" w:rsidP="00DD0452">
      <w:pPr>
        <w:autoSpaceDE w:val="0"/>
        <w:autoSpaceDN w:val="0"/>
        <w:adjustRightInd w:val="0"/>
        <w:jc w:val="both"/>
        <w:rPr>
          <w:u w:val="single"/>
        </w:rPr>
      </w:pPr>
      <w:r w:rsidRPr="00DD0452">
        <w:rPr>
          <w:u w:val="single"/>
        </w:rPr>
        <w:t>Bajo esas consideraciones, la Secretaría de Hacienda y Crédito Público (SHCP) en el documento de “Pre-Criterios 2022” (Pre-Criterios, en adelante), reitera el compromiso del Gobierno Federal de mantener la prudencia fiscal y un eficiente manejo del endeudamiento para disminuir la deuda pública de manera sostenida, de tal modo que se asegure la preservación de la salud de largo plazo de las finanzas públicas y la disponibilidad de recursos adicionales para los programas y proyectos públicos que inciden en mayor media en el desarrollo y bienestar del país.</w:t>
      </w:r>
    </w:p>
    <w:p w14:paraId="29EBBCD0" w14:textId="77777777" w:rsidR="00DD0452" w:rsidRPr="00DD0452" w:rsidRDefault="00DD0452" w:rsidP="00DD0452">
      <w:pPr>
        <w:autoSpaceDE w:val="0"/>
        <w:autoSpaceDN w:val="0"/>
        <w:adjustRightInd w:val="0"/>
        <w:jc w:val="both"/>
        <w:rPr>
          <w:u w:val="single"/>
        </w:rPr>
      </w:pPr>
      <w:r w:rsidRPr="00DD0452">
        <w:rPr>
          <w:u w:val="single"/>
        </w:rPr>
        <w:t xml:space="preserve">Con base a lo expuesto, el escenario macroeconómico se encuentra sostenido en la reactivación de los sectores que dependen menos del contacto social o que se han adaptado rápidamente al contexto actual siendo los menos afectados por la pandemia; en el proceso de vacunación, que permitirá agilizar la reapertura de las actividades, en particular las de alta interacción social, y de la aceleración en la recuperación de las economías de nuestros socios comerciales, que incidirá a través del comercio exterior. </w:t>
      </w:r>
    </w:p>
    <w:p w14:paraId="3659A087" w14:textId="77777777" w:rsidR="00DD0452" w:rsidRPr="00DD0452" w:rsidRDefault="00DD0452" w:rsidP="00DD0452">
      <w:pPr>
        <w:autoSpaceDE w:val="0"/>
        <w:autoSpaceDN w:val="0"/>
        <w:adjustRightInd w:val="0"/>
        <w:jc w:val="both"/>
        <w:rPr>
          <w:u w:val="single"/>
        </w:rPr>
      </w:pPr>
      <w:r w:rsidRPr="00DD0452">
        <w:rPr>
          <w:u w:val="single"/>
        </w:rPr>
        <w:t xml:space="preserve">En este sentido, la SHCP elevó la cifra de crecimiento económico, para el cierre de 2021, de 4.5 a 5.3%, en línea con las proyecciones de organismos internacionales (FMI y la OCDE) y la solidez del sistema financiero mexicano. Cabe señalar que la estimación para este año considera la recuperación en el gasto de consumo e inversión para alcanzar sus niveles </w:t>
      </w:r>
      <w:proofErr w:type="spellStart"/>
      <w:r w:rsidRPr="00DD0452">
        <w:rPr>
          <w:u w:val="single"/>
        </w:rPr>
        <w:t>pre-pandemia</w:t>
      </w:r>
      <w:proofErr w:type="spellEnd"/>
      <w:r w:rsidRPr="00DD0452">
        <w:rPr>
          <w:u w:val="single"/>
        </w:rPr>
        <w:t xml:space="preserve"> y que el sector manufacturero tenga un crecimiento estable en función del dinamismo de la actividad económica de los países socios, principalmente, de Estados Unidos debido a la elevada integración comercial. </w:t>
      </w:r>
    </w:p>
    <w:p w14:paraId="15FD1B89" w14:textId="77777777" w:rsidR="00DD0452" w:rsidRPr="00DD0452" w:rsidRDefault="00DD0452" w:rsidP="00DD0452">
      <w:pPr>
        <w:autoSpaceDE w:val="0"/>
        <w:autoSpaceDN w:val="0"/>
        <w:adjustRightInd w:val="0"/>
        <w:jc w:val="both"/>
        <w:rPr>
          <w:u w:val="single"/>
        </w:rPr>
      </w:pPr>
      <w:r w:rsidRPr="00DD0452">
        <w:rPr>
          <w:u w:val="single"/>
        </w:rPr>
        <w:t xml:space="preserve">Asimismo, destaca el ajuste al alza en el precio del crudo de 42.1 (en CGPE-21) a 55 dólares por barril ante la previsión de un incremento en la demanda global, la aceleración del consumo de combustibles en China, la estabilidad y cumplimiento de los acuerdos alcanzados por la Organización de Países Exportadores de </w:t>
      </w:r>
      <w:r w:rsidRPr="00DD0452">
        <w:rPr>
          <w:u w:val="single"/>
        </w:rPr>
        <w:lastRenderedPageBreak/>
        <w:t>Petróleo y sus aliados (OPEP+) y los recortes adicionales a la producción implementados por Arabia Saudita. Con ello se espera que se compense la disminución en los ingresos debido a la reducción en la producción de petróleo que pasa de 1,857 en CGPE-21 a 1,794 miles de barriles diarios en 2021; en tanto se estima que, el tipo de cambio promedio pase de una estimación de 22.1 en CGPE-21 a 20.1 pesos por dólar en Pre-Criterios 2022.</w:t>
      </w:r>
    </w:p>
    <w:p w14:paraId="2D1207DA" w14:textId="77777777" w:rsidR="00DD0452" w:rsidRPr="00DD0452" w:rsidRDefault="00DD0452" w:rsidP="00DD0452">
      <w:pPr>
        <w:autoSpaceDE w:val="0"/>
        <w:autoSpaceDN w:val="0"/>
        <w:adjustRightInd w:val="0"/>
        <w:jc w:val="both"/>
        <w:rPr>
          <w:u w:val="single"/>
        </w:rPr>
      </w:pPr>
      <w:r w:rsidRPr="00DD0452">
        <w:rPr>
          <w:u w:val="single"/>
        </w:rPr>
        <w:t>En otras variables macroeconómicas se espera un repunte de la inflación a 3.8% para 2021, resultado del incremento en los precios en mercancías no alimenticias, productos pecuarios y energéticos; si bien se esperan algunas presiones inflacionarias, principalmente por el incremento en los precios internacionales de los energéticos, las expectativas de mediano plazo se mantienen ancladas con base en la holgura en la actividad económica y el mercado laboral; en tanto que la tasa de interés de referencia se estima que permanezca en 4.0%, tanto en 2021 como en el año siguiente. Para 2022 se prevé el restablecimiento, prácticamente total de la actividad económica ante la conclusión de la campaña de vacunación y la reanudación de las diversas actividades económicas y sociales, el fortalecimiento de los salarios, la inclusión financiera, el impulso a la inversión pública y privada y el fomento al comercio exterior y a la inversión extranjera directa; por lo que, la SHCP estima la cifra de crecimiento puntual para fines de finanzas públicas en 2022 en 3.6%, dentro del rango de 2.6 a 4.6%.</w:t>
      </w:r>
    </w:p>
    <w:p w14:paraId="27C3EF11" w14:textId="77777777" w:rsidR="00DD0452" w:rsidRPr="00DD0452" w:rsidRDefault="00DD0452" w:rsidP="00DD0452">
      <w:pPr>
        <w:autoSpaceDE w:val="0"/>
        <w:autoSpaceDN w:val="0"/>
        <w:adjustRightInd w:val="0"/>
        <w:jc w:val="both"/>
        <w:rPr>
          <w:u w:val="single"/>
        </w:rPr>
      </w:pPr>
      <w:r w:rsidRPr="00DD0452">
        <w:rPr>
          <w:u w:val="single"/>
        </w:rPr>
        <w:t xml:space="preserve">De modo complementario, la SHCP estima que al cierre de este ejercicio fiscal se podría mejorar la captación de ingresos presupuestarios respecto a lo estimado originalmente en la LIF 2021, al ubicar la recaudación en cinco billones 713 mil 264.7 </w:t>
      </w:r>
      <w:proofErr w:type="spellStart"/>
      <w:r w:rsidRPr="00DD0452">
        <w:rPr>
          <w:u w:val="single"/>
        </w:rPr>
        <w:t>mdp</w:t>
      </w:r>
      <w:proofErr w:type="spellEnd"/>
      <w:r w:rsidRPr="00DD0452">
        <w:rPr>
          <w:u w:val="single"/>
        </w:rPr>
        <w:t xml:space="preserve"> (22.6 por ciento del PIB). debido a una mayor captación de ingresos petroleros e ingresos no petroleros, que derivan de la mejoría en las perspectivas económicas, y de una base tributaria más elevada observada al cierre de 2020. </w:t>
      </w:r>
    </w:p>
    <w:p w14:paraId="694CC90C" w14:textId="77777777" w:rsidR="00DD0452" w:rsidRPr="00DD0452" w:rsidRDefault="00DD0452" w:rsidP="00DD0452">
      <w:pPr>
        <w:autoSpaceDE w:val="0"/>
        <w:autoSpaceDN w:val="0"/>
        <w:adjustRightInd w:val="0"/>
        <w:jc w:val="both"/>
        <w:rPr>
          <w:u w:val="single"/>
        </w:rPr>
      </w:pPr>
      <w:r w:rsidRPr="00DD0452">
        <w:rPr>
          <w:u w:val="single"/>
        </w:rPr>
        <w:t xml:space="preserve">Esto permitirá que los Requerimientos Financieros del Sector Público (RFSP) sean de 3.3 por ciento del PIB, al final de este año, ligeramente menor al 3.4 por ciento contemplado originalmente en el Paquete Económico 2021, lo que llevaría el SHRFSP a un nivel de 51.4 por ciento del PIB al cierre del año. Para las proyecciones de finanzas públicas de 2022 se utiliza una cifra de crecimiento económico de 3.6 por ciento. </w:t>
      </w:r>
    </w:p>
    <w:p w14:paraId="7306DAAF" w14:textId="77777777" w:rsidR="00DD0452" w:rsidRPr="00DD0452" w:rsidRDefault="00DD0452" w:rsidP="00DD0452">
      <w:pPr>
        <w:autoSpaceDE w:val="0"/>
        <w:autoSpaceDN w:val="0"/>
        <w:adjustRightInd w:val="0"/>
        <w:jc w:val="both"/>
        <w:rPr>
          <w:u w:val="single"/>
        </w:rPr>
      </w:pPr>
      <w:r w:rsidRPr="00DD0452">
        <w:rPr>
          <w:u w:val="single"/>
        </w:rPr>
        <w:t>Como resultado de lo anterior y de la recuperación esperada en el sector petrolero, se estima para ese año un aumento en los ingresos presupuestarios de 5.6 por ciento real respecto a lo aprobado para 2021; que serían resultado de la fortaleza de los ingresos tributarios, que derivarán de las mejoras realizadas al marco normativo.</w:t>
      </w:r>
    </w:p>
    <w:p w14:paraId="5002A550" w14:textId="77777777" w:rsidR="00DD0452" w:rsidRPr="00DD0452" w:rsidRDefault="00DD0452" w:rsidP="00DD0452">
      <w:pPr>
        <w:autoSpaceDE w:val="0"/>
        <w:autoSpaceDN w:val="0"/>
        <w:adjustRightInd w:val="0"/>
        <w:jc w:val="both"/>
        <w:rPr>
          <w:u w:val="single"/>
        </w:rPr>
      </w:pPr>
      <w:r w:rsidRPr="00DD0452">
        <w:rPr>
          <w:u w:val="single"/>
        </w:rPr>
        <w:t xml:space="preserve">La SHCP, bajo un entorno optimista y de recuperación económica, estima </w:t>
      </w:r>
      <w:proofErr w:type="gramStart"/>
      <w:r w:rsidRPr="00DD0452">
        <w:rPr>
          <w:u w:val="single"/>
        </w:rPr>
        <w:t>que</w:t>
      </w:r>
      <w:proofErr w:type="gramEnd"/>
      <w:r w:rsidRPr="00DD0452">
        <w:rPr>
          <w:u w:val="single"/>
        </w:rPr>
        <w:t xml:space="preserve"> para el cierre del 2021, el Gasto Neto supere la cifra aprobada en 2.8% impulsada principalmente por mayores erogaciones programables, mientras que para el 2022, de continuar con la recuperación y bajo un escenario tanto interno como externo, favorables, estima que el Gasto neto sea mayor en 3.7 por ciento real al aprobado en 2021 y marginalmente mayor en 0.9 por ciento al cierre estimado para 2021. </w:t>
      </w:r>
    </w:p>
    <w:p w14:paraId="04E34ED3" w14:textId="77777777" w:rsidR="00DD0452" w:rsidRPr="00DD0452" w:rsidRDefault="00DD0452" w:rsidP="00DD0452">
      <w:pPr>
        <w:autoSpaceDE w:val="0"/>
        <w:autoSpaceDN w:val="0"/>
        <w:adjustRightInd w:val="0"/>
        <w:jc w:val="both"/>
        <w:rPr>
          <w:u w:val="single"/>
        </w:rPr>
      </w:pPr>
      <w:r w:rsidRPr="00DD0452">
        <w:rPr>
          <w:u w:val="single"/>
        </w:rPr>
        <w:t xml:space="preserve">Para los principales Balances estima que hacia el cierre de 2021 se obtenga un déficit presupuestario equivalente a 2.8% del PIB en tanto que para el 2022, se anticipa que el déficit presupuestario sea inferior en </w:t>
      </w:r>
      <w:r w:rsidRPr="00DD0452">
        <w:rPr>
          <w:u w:val="single"/>
        </w:rPr>
        <w:lastRenderedPageBreak/>
        <w:t xml:space="preserve">0.4 puntos porcentuales; a su vez se estima un superávit primario presupuestario para 2022 equivalente a 0.4% PIB desde un déficit de 231.5 </w:t>
      </w:r>
      <w:proofErr w:type="spellStart"/>
      <w:r w:rsidRPr="00DD0452">
        <w:rPr>
          <w:u w:val="single"/>
        </w:rPr>
        <w:t>mdp</w:t>
      </w:r>
      <w:proofErr w:type="spellEnd"/>
      <w:r w:rsidRPr="00DD0452">
        <w:rPr>
          <w:u w:val="single"/>
        </w:rPr>
        <w:t xml:space="preserve"> previsto al cierre de 2021.</w:t>
      </w:r>
    </w:p>
    <w:p w14:paraId="689F1D90" w14:textId="77777777" w:rsidR="00DD0452" w:rsidRPr="00DD0452" w:rsidRDefault="00DD0452" w:rsidP="00DD0452">
      <w:pPr>
        <w:autoSpaceDE w:val="0"/>
        <w:autoSpaceDN w:val="0"/>
        <w:adjustRightInd w:val="0"/>
        <w:jc w:val="both"/>
        <w:rPr>
          <w:u w:val="single"/>
        </w:rPr>
      </w:pPr>
      <w:r w:rsidRPr="00DD0452">
        <w:rPr>
          <w:u w:val="single"/>
        </w:rPr>
        <w:t xml:space="preserve">Estrategia de Vacunación en México e Impactos Económicos Proyectados </w:t>
      </w:r>
    </w:p>
    <w:p w14:paraId="54DA7258"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La Estrategia Nacional de Vacunación del Gobierno de México establece que la inmunización contra el virus SARS-Cov-2 será universal y gratuita. El Gobierno aseguró vacunas para inmunizar a más del 90% de la población objetivo (personas mayores de 16 años). El programa de vacunación en México tiene cuatro ejes de priorización: edad de las personas, comorbilidades personales, grupos de atención primaria (personas con discapacidad) y el comportamiento de la pandemia. </w:t>
      </w:r>
    </w:p>
    <w:p w14:paraId="5B618BDC"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El Gobierno, al 30 de marzo de 2021, ha recibido 13.5 millones de dosis, de las cuales se han aplicado 7.1 millones, con lo que cubrió casi en su totalidad la primera fase de vacunación (trabajadores de la salud en primera línea de atención). La segunda fase de vacunación, adultos mayores de 60 años, se encuentra en marcha. </w:t>
      </w:r>
    </w:p>
    <w:p w14:paraId="483F545B"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Durante 10 semanas consecutivas, se ha logrado reducir el número de contagios y hospitalizaciones en 76.4% y 63.8%, respectivamente, desde la primera semana de enero, cuando se registraron los niveles más altos de propagación del virus. </w:t>
      </w:r>
    </w:p>
    <w:p w14:paraId="4094144E"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El programa de vacunación traerá consigo efectos positivos, no solo en la salud de la población mexicana, sino también al aumentar la movilidad de personas, reducir las restricciones oficiales impuestas, lo que implicará la aceleración de la actividad económica en todos los sectores, en particular, los que involucran una mayor interacción personal y que se encuentran rezagados. </w:t>
      </w:r>
    </w:p>
    <w:p w14:paraId="0BDBC7BC" w14:textId="77777777" w:rsidR="00DD0452" w:rsidRPr="00DD0452" w:rsidRDefault="00DD0452" w:rsidP="00DD0452">
      <w:pPr>
        <w:autoSpaceDE w:val="0"/>
        <w:autoSpaceDN w:val="0"/>
        <w:adjustRightInd w:val="0"/>
        <w:jc w:val="both"/>
        <w:rPr>
          <w:u w:val="single"/>
        </w:rPr>
      </w:pPr>
      <w:r w:rsidRPr="00DD0452">
        <w:rPr>
          <w:u w:val="single"/>
        </w:rPr>
        <w:sym w:font="Symbol" w:char="F0B7"/>
      </w:r>
      <w:r w:rsidRPr="00DD0452">
        <w:rPr>
          <w:u w:val="single"/>
        </w:rPr>
        <w:t xml:space="preserve"> Así, se estima que la tasa de crecimiento en 2021 podría aumentar hasta en 1.8 puntos porcentuales con respecto a 2020. Si a esto se agregaran las actividades en recuperación, la tasa de crecimiento podría aumentar hasta 2.6 puntos porcentuales.</w:t>
      </w:r>
    </w:p>
    <w:p w14:paraId="158C149D" w14:textId="77777777" w:rsidR="00DD0452" w:rsidRPr="00DD0452" w:rsidRDefault="00DD0452" w:rsidP="00DD0452">
      <w:pPr>
        <w:autoSpaceDE w:val="0"/>
        <w:autoSpaceDN w:val="0"/>
        <w:adjustRightInd w:val="0"/>
        <w:jc w:val="both"/>
        <w:rPr>
          <w:u w:val="single"/>
        </w:rPr>
      </w:pPr>
      <w:r w:rsidRPr="00DD0452">
        <w:rPr>
          <w:u w:val="single"/>
        </w:rPr>
        <w:t xml:space="preserve">Gasto Neto: Actualización 2021 y Perspectivas 2022 </w:t>
      </w:r>
    </w:p>
    <w:p w14:paraId="18D362B5" w14:textId="77777777" w:rsidR="00DD0452" w:rsidRPr="00DD0452" w:rsidRDefault="00DD0452" w:rsidP="00DD0452">
      <w:pPr>
        <w:autoSpaceDE w:val="0"/>
        <w:autoSpaceDN w:val="0"/>
        <w:adjustRightInd w:val="0"/>
        <w:jc w:val="both"/>
        <w:rPr>
          <w:u w:val="single"/>
        </w:rPr>
      </w:pPr>
      <w:r w:rsidRPr="00DD0452">
        <w:rPr>
          <w:u w:val="single"/>
        </w:rPr>
        <w:t xml:space="preserve">La mejoría en las expectativas de crecimiento económico para 2021 supone que el gasto en consumo e inversión continuará su ascenso de modo inercial, luego de un débil inicio en el año, para recuperar sus niveles </w:t>
      </w:r>
      <w:proofErr w:type="spellStart"/>
      <w:r w:rsidRPr="00DD0452">
        <w:rPr>
          <w:u w:val="single"/>
        </w:rPr>
        <w:t>pre-pandemia</w:t>
      </w:r>
      <w:proofErr w:type="spellEnd"/>
      <w:r w:rsidRPr="00DD0452">
        <w:rPr>
          <w:u w:val="single"/>
        </w:rPr>
        <w:t xml:space="preserve"> y la convergencia a sus tasas de crecimiento de largo plazo. </w:t>
      </w:r>
    </w:p>
    <w:p w14:paraId="007E66B7" w14:textId="77777777" w:rsidR="00DD0452" w:rsidRPr="00DD0452" w:rsidRDefault="00DD0452" w:rsidP="00DD0452">
      <w:pPr>
        <w:autoSpaceDE w:val="0"/>
        <w:autoSpaceDN w:val="0"/>
        <w:adjustRightInd w:val="0"/>
        <w:jc w:val="both"/>
        <w:rPr>
          <w:u w:val="single"/>
        </w:rPr>
      </w:pPr>
      <w:r w:rsidRPr="00DD0452">
        <w:rPr>
          <w:u w:val="single"/>
        </w:rPr>
        <w:t xml:space="preserve">Del mismo modo, la SHCP espera que el sector externo, en particular el sector de manufacturas, tenga un crecimiento estable y en línea con la actividad económica de los principales socios comerciales del país. </w:t>
      </w:r>
    </w:p>
    <w:p w14:paraId="0C372D5C" w14:textId="77777777" w:rsidR="00DD0452" w:rsidRPr="00DD0452" w:rsidRDefault="00DD0452" w:rsidP="00DD0452">
      <w:pPr>
        <w:autoSpaceDE w:val="0"/>
        <w:autoSpaceDN w:val="0"/>
        <w:adjustRightInd w:val="0"/>
        <w:jc w:val="both"/>
        <w:rPr>
          <w:u w:val="single"/>
        </w:rPr>
      </w:pPr>
      <w:r w:rsidRPr="00DD0452">
        <w:rPr>
          <w:u w:val="single"/>
        </w:rPr>
        <w:t xml:space="preserve">Estimaciones de Cierre 2021 del Gasto Neto </w:t>
      </w:r>
    </w:p>
    <w:p w14:paraId="6ECE248C" w14:textId="77777777" w:rsidR="00DD0452" w:rsidRDefault="00DD0452" w:rsidP="00DD0452">
      <w:pPr>
        <w:autoSpaceDE w:val="0"/>
        <w:autoSpaceDN w:val="0"/>
        <w:adjustRightInd w:val="0"/>
        <w:jc w:val="both"/>
        <w:rPr>
          <w:u w:val="single"/>
        </w:rPr>
      </w:pPr>
      <w:r w:rsidRPr="00DD0452">
        <w:rPr>
          <w:u w:val="single"/>
        </w:rPr>
        <w:t xml:space="preserve">Derivado de esta mejoría, se estima que el Gasto Neto tenga un incremento de 174.3 </w:t>
      </w:r>
      <w:proofErr w:type="spellStart"/>
      <w:r w:rsidRPr="00DD0452">
        <w:rPr>
          <w:u w:val="single"/>
        </w:rPr>
        <w:t>Mmp</w:t>
      </w:r>
      <w:proofErr w:type="spellEnd"/>
      <w:r w:rsidRPr="00DD0452">
        <w:rPr>
          <w:u w:val="single"/>
        </w:rPr>
        <w:t xml:space="preserve">, sobre lo aprobado para 2021, en línea con el aumento de los ingresos. Lo que sustentaría el mayor Gasto Programable, que se incrementaría en 173.4 </w:t>
      </w:r>
      <w:proofErr w:type="spellStart"/>
      <w:r w:rsidRPr="00DD0452">
        <w:rPr>
          <w:u w:val="single"/>
        </w:rPr>
        <w:t>mmp</w:t>
      </w:r>
      <w:proofErr w:type="spellEnd"/>
      <w:r w:rsidRPr="00DD0452">
        <w:rPr>
          <w:u w:val="single"/>
        </w:rPr>
        <w:t>, a partir de los ingresos excedentes, de acuerdo con lo establecido en la Ley Federal de Presupuesto y Responsabilidad Hacendaria (LFPRH).</w:t>
      </w:r>
    </w:p>
    <w:p w14:paraId="4AAD3F9D" w14:textId="67241889" w:rsidR="00DD0452" w:rsidRPr="00DD0452" w:rsidRDefault="00DD0452" w:rsidP="00DD0452">
      <w:pPr>
        <w:autoSpaceDE w:val="0"/>
        <w:autoSpaceDN w:val="0"/>
        <w:adjustRightInd w:val="0"/>
        <w:jc w:val="both"/>
        <w:rPr>
          <w:u w:val="single"/>
        </w:rPr>
      </w:pPr>
      <w:r w:rsidRPr="00DD0452">
        <w:rPr>
          <w:u w:val="single"/>
        </w:rPr>
        <w:lastRenderedPageBreak/>
        <w:t xml:space="preserve">En tanto que para el Gasto No Programable, se prevé un monto superior en 0.9 </w:t>
      </w:r>
      <w:proofErr w:type="spellStart"/>
      <w:r w:rsidRPr="00DD0452">
        <w:rPr>
          <w:u w:val="single"/>
        </w:rPr>
        <w:t>Mmp</w:t>
      </w:r>
      <w:proofErr w:type="spellEnd"/>
      <w:r w:rsidRPr="00DD0452">
        <w:rPr>
          <w:u w:val="single"/>
        </w:rPr>
        <w:t xml:space="preserve"> al aprobado, resultado de la mayor distribución de Participaciones a las Entidades Federativas, en 18.9 </w:t>
      </w:r>
      <w:proofErr w:type="spellStart"/>
      <w:r w:rsidRPr="00DD0452">
        <w:rPr>
          <w:u w:val="single"/>
        </w:rPr>
        <w:t>Mmp</w:t>
      </w:r>
      <w:proofErr w:type="spellEnd"/>
      <w:r w:rsidRPr="00DD0452">
        <w:rPr>
          <w:u w:val="single"/>
        </w:rPr>
        <w:t xml:space="preserve">, como efecto de la mayor recaudación federal participable, de la prevista para este año y en línea con la recuperación económica; que sería compensada por un menor pago de </w:t>
      </w:r>
      <w:proofErr w:type="spellStart"/>
      <w:r w:rsidRPr="00DD0452">
        <w:rPr>
          <w:u w:val="single"/>
        </w:rPr>
        <w:t>Adefas</w:t>
      </w:r>
      <w:proofErr w:type="spellEnd"/>
      <w:r w:rsidRPr="00DD0452">
        <w:rPr>
          <w:u w:val="single"/>
        </w:rPr>
        <w:t xml:space="preserve">, por 12.1 </w:t>
      </w:r>
      <w:proofErr w:type="spellStart"/>
      <w:r w:rsidRPr="00DD0452">
        <w:rPr>
          <w:u w:val="single"/>
        </w:rPr>
        <w:t>mmp</w:t>
      </w:r>
      <w:proofErr w:type="spellEnd"/>
      <w:r w:rsidRPr="00DD0452">
        <w:rPr>
          <w:u w:val="single"/>
        </w:rPr>
        <w:t xml:space="preserve">, resultado de actualizar su monto estimado al momento de elaborar el Paquete Económico 2021, con el dato de los diferimientos de pagos efectivamente registrados al cierre de 2020; y por un menor Costo Financiero, en 5.9 </w:t>
      </w:r>
      <w:proofErr w:type="spellStart"/>
      <w:r w:rsidRPr="00DD0452">
        <w:rPr>
          <w:u w:val="single"/>
        </w:rPr>
        <w:t>mmp</w:t>
      </w:r>
      <w:proofErr w:type="spellEnd"/>
      <w:r w:rsidRPr="00DD0452">
        <w:rPr>
          <w:u w:val="single"/>
        </w:rPr>
        <w:t>, asociado a menores tasas de interés y a un menor tipo de cambio al previsto originalmente.</w:t>
      </w:r>
    </w:p>
    <w:p w14:paraId="683199EA" w14:textId="77777777" w:rsidR="00DD0452" w:rsidRPr="00DD0452" w:rsidRDefault="00DD0452" w:rsidP="00DD0452">
      <w:pPr>
        <w:autoSpaceDE w:val="0"/>
        <w:autoSpaceDN w:val="0"/>
        <w:adjustRightInd w:val="0"/>
        <w:jc w:val="both"/>
        <w:rPr>
          <w:u w:val="single"/>
        </w:rPr>
      </w:pPr>
      <w:r w:rsidRPr="00DD0452">
        <w:rPr>
          <w:u w:val="single"/>
        </w:rPr>
        <w:t xml:space="preserve">Gasto Público, Estimado 2022 </w:t>
      </w:r>
    </w:p>
    <w:p w14:paraId="314ABF0D" w14:textId="77777777" w:rsidR="00DD0452" w:rsidRPr="00DD0452" w:rsidRDefault="00DD0452" w:rsidP="00DD0452">
      <w:pPr>
        <w:autoSpaceDE w:val="0"/>
        <w:autoSpaceDN w:val="0"/>
        <w:adjustRightInd w:val="0"/>
        <w:jc w:val="both"/>
        <w:rPr>
          <w:u w:val="single"/>
        </w:rPr>
      </w:pPr>
      <w:r w:rsidRPr="00DD0452">
        <w:rPr>
          <w:u w:val="single"/>
        </w:rPr>
        <w:t xml:space="preserve">El Gasto Neto Total pagado al cierre de 2021 se prevé que sea mayor en 3.7% real al monto aprobado en el PEF 2021. Esta tendencia creciente se proyectaría en 2022, para cuando se estima que el Gasto Neto Pagado crezca marginalmente a </w:t>
      </w:r>
      <w:proofErr w:type="gramStart"/>
      <w:r w:rsidRPr="00DD0452">
        <w:rPr>
          <w:u w:val="single"/>
        </w:rPr>
        <w:t>un tasa</w:t>
      </w:r>
      <w:proofErr w:type="gramEnd"/>
      <w:r w:rsidRPr="00DD0452">
        <w:rPr>
          <w:u w:val="single"/>
        </w:rPr>
        <w:t xml:space="preserve"> de 0.9% real, para situarse en 6 billones 697 mil </w:t>
      </w:r>
      <w:proofErr w:type="spellStart"/>
      <w:r w:rsidRPr="00DD0452">
        <w:rPr>
          <w:u w:val="single"/>
        </w:rPr>
        <w:t>mdp</w:t>
      </w:r>
      <w:proofErr w:type="spellEnd"/>
      <w:r w:rsidRPr="00DD0452">
        <w:rPr>
          <w:u w:val="single"/>
        </w:rPr>
        <w:t xml:space="preserve">. Lo que implicaría que el Gasto Programable pagado se incremente en 140.4 </w:t>
      </w:r>
      <w:proofErr w:type="spellStart"/>
      <w:r w:rsidRPr="00DD0452">
        <w:rPr>
          <w:u w:val="single"/>
        </w:rPr>
        <w:t>Mmp</w:t>
      </w:r>
      <w:proofErr w:type="spellEnd"/>
      <w:r w:rsidRPr="00DD0452">
        <w:rPr>
          <w:u w:val="single"/>
        </w:rPr>
        <w:t xml:space="preserve">, respecto a lo aprobado en 2021 (3.0% real). Sin embargo, respecto a la estimación de cierre de 2021, se registraría una diminución marginal 0.8% real. Mientras que, para el Gasto No Programable se pronostica un aumento de 97.0 </w:t>
      </w:r>
      <w:proofErr w:type="spellStart"/>
      <w:r w:rsidRPr="00DD0452">
        <w:rPr>
          <w:u w:val="single"/>
        </w:rPr>
        <w:t>Mmp</w:t>
      </w:r>
      <w:proofErr w:type="spellEnd"/>
      <w:r w:rsidRPr="00DD0452">
        <w:rPr>
          <w:u w:val="single"/>
        </w:rPr>
        <w:t>, debido fundamentalmente a una mayor distribución de Participaciones a las Entidades y Municipios, que devendría de la perspectiva de un incremento en la recaudación federal participable; y en segundo lugar al mayor Costo financiero que crecería 2.8% sobre el cierre de 2021.</w:t>
      </w:r>
    </w:p>
    <w:p w14:paraId="1B9019D6" w14:textId="77777777" w:rsidR="00DD0452" w:rsidRPr="00DD0452" w:rsidRDefault="00DD0452" w:rsidP="00DD0452">
      <w:pPr>
        <w:autoSpaceDE w:val="0"/>
        <w:autoSpaceDN w:val="0"/>
        <w:adjustRightInd w:val="0"/>
        <w:jc w:val="both"/>
        <w:rPr>
          <w:u w:val="single"/>
        </w:rPr>
      </w:pPr>
      <w:r w:rsidRPr="00DD0452">
        <w:rPr>
          <w:u w:val="single"/>
        </w:rPr>
        <w:t>Principales Balances Fiscales, Actualización 2021 y Perspectivas 2022.</w:t>
      </w:r>
    </w:p>
    <w:p w14:paraId="4DD340A5" w14:textId="77777777" w:rsidR="00DD0452" w:rsidRPr="00DD0452" w:rsidRDefault="00DD0452" w:rsidP="00DD0452">
      <w:pPr>
        <w:autoSpaceDE w:val="0"/>
        <w:autoSpaceDN w:val="0"/>
        <w:adjustRightInd w:val="0"/>
        <w:jc w:val="both"/>
        <w:rPr>
          <w:u w:val="single"/>
        </w:rPr>
      </w:pPr>
      <w:r w:rsidRPr="00DD0452">
        <w:rPr>
          <w:u w:val="single"/>
        </w:rPr>
        <w:t xml:space="preserve">Para el cierre del 2021, la SHCP anticipa un déficit presupuestario equivalente a 2.8% del PIB; en tanto que para el 2022, de continuar con el entorno macroeconómico previsto, este se reduciría en 0.4 puntos porcentuales, para ubicarse en 657.6 </w:t>
      </w:r>
      <w:proofErr w:type="spellStart"/>
      <w:r w:rsidRPr="00DD0452">
        <w:rPr>
          <w:u w:val="single"/>
        </w:rPr>
        <w:t>Mmp</w:t>
      </w:r>
      <w:proofErr w:type="spellEnd"/>
      <w:r w:rsidRPr="00DD0452">
        <w:rPr>
          <w:u w:val="single"/>
        </w:rPr>
        <w:t xml:space="preserve">. En igual sentido, para el Balance Primario Presupuestario, la SHCP participa que para el cierre del año se ubique en un déficit de 0.2 </w:t>
      </w:r>
      <w:proofErr w:type="spellStart"/>
      <w:r w:rsidRPr="00DD0452">
        <w:rPr>
          <w:u w:val="single"/>
        </w:rPr>
        <w:t>Mmp</w:t>
      </w:r>
      <w:proofErr w:type="spellEnd"/>
      <w:r w:rsidRPr="00DD0452">
        <w:rPr>
          <w:u w:val="single"/>
        </w:rPr>
        <w:t xml:space="preserve"> y que para el 2022 se alcance un superávit primario equivalente a 0.4% del PIB. Estos resultados consideran un entorno favorable, en el que se cumplirían las expectativas del programa de vacunación, e inducirían una recuperación más rápida de los sectores más afectados por la pandemia, como el turístico, y la recuperación de las cadenas productivas, que fortalecerían el mercado interno, acompañados por la recuperación de la inversión y el empleo. </w:t>
      </w:r>
    </w:p>
    <w:p w14:paraId="5BFA3141" w14:textId="77777777" w:rsidR="00DD0452" w:rsidRPr="00DD0452" w:rsidRDefault="00DD0452" w:rsidP="00DD0452">
      <w:pPr>
        <w:autoSpaceDE w:val="0"/>
        <w:autoSpaceDN w:val="0"/>
        <w:adjustRightInd w:val="0"/>
        <w:jc w:val="both"/>
        <w:rPr>
          <w:u w:val="single"/>
        </w:rPr>
      </w:pPr>
      <w:r w:rsidRPr="00DD0452">
        <w:rPr>
          <w:u w:val="single"/>
        </w:rPr>
        <w:t>La SHCP señala que estas previsiones se verían afectadas en caso de que se presenten entornos adversos, tales como; un rebrote de la pandemia causado por mutaciones del virus, afectaciones no previstas en la capacidad productiva y un retraso en la normalización de la inversión, dificultades en la apertura de empresas, debilitamiento en el mercado laboral o afectaciones internacionales tales como, sobrecalentamiento de la economía estadounidense o conflictos geopolíticos que afecten el precio del petróleo.</w:t>
      </w:r>
    </w:p>
    <w:p w14:paraId="137B519F" w14:textId="77777777" w:rsidR="00DD0452" w:rsidRPr="00E74967" w:rsidRDefault="00DD0452" w:rsidP="00CB41C4">
      <w:pPr>
        <w:tabs>
          <w:tab w:val="left" w:leader="underscore" w:pos="9639"/>
        </w:tabs>
        <w:spacing w:after="0" w:line="240" w:lineRule="auto"/>
        <w:jc w:val="both"/>
        <w:rPr>
          <w:rFonts w:cs="Calibri"/>
        </w:rPr>
      </w:pPr>
    </w:p>
    <w:p w14:paraId="48A648C9" w14:textId="77777777" w:rsidR="002E71E7" w:rsidRDefault="002E71E7" w:rsidP="00CB41C4">
      <w:pPr>
        <w:tabs>
          <w:tab w:val="left" w:leader="underscore" w:pos="9639"/>
        </w:tabs>
        <w:spacing w:after="0" w:line="240" w:lineRule="auto"/>
        <w:jc w:val="both"/>
      </w:pPr>
    </w:p>
    <w:p w14:paraId="6C22AECD" w14:textId="2DACA5F2" w:rsidR="00DD0452" w:rsidRDefault="00000000" w:rsidP="00DD0452">
      <w:pPr>
        <w:rPr>
          <w:color w:val="0070C0"/>
          <w:sz w:val="20"/>
          <w:szCs w:val="20"/>
        </w:rPr>
      </w:pPr>
      <w:hyperlink r:id="rId12" w:history="1">
        <w:r w:rsidR="00DD0452" w:rsidRPr="00645713">
          <w:rPr>
            <w:rStyle w:val="Hipervnculo"/>
            <w:sz w:val="20"/>
            <w:szCs w:val="20"/>
          </w:rPr>
          <w:t>https://www.cefp.gob.mx/publicaciones/documento/2021/cefp0112021.pdf</w:t>
        </w:r>
      </w:hyperlink>
    </w:p>
    <w:p w14:paraId="2851B3C6" w14:textId="536E403D" w:rsidR="00601F21" w:rsidRPr="00601F21" w:rsidRDefault="00601F21" w:rsidP="00601F21">
      <w:pPr>
        <w:jc w:val="both"/>
        <w:rPr>
          <w:u w:val="single"/>
        </w:rPr>
      </w:pPr>
      <w:r w:rsidRPr="00601F21">
        <w:rPr>
          <w:u w:val="single"/>
        </w:rPr>
        <w:t>Más sin embargo el Organismo Operador en el momento de la elaboración y proyección del presupuesto 2022 está ubicada en números negros y sin pasivos que no puedan solventarse de manera inmediata, por lo que actualmente no se cuenta con Deuda Pública.</w:t>
      </w:r>
    </w:p>
    <w:p w14:paraId="616A73BE" w14:textId="77777777" w:rsidR="00601F21" w:rsidRPr="00601F21" w:rsidRDefault="00601F21" w:rsidP="00601F21">
      <w:pPr>
        <w:autoSpaceDE w:val="0"/>
        <w:autoSpaceDN w:val="0"/>
        <w:adjustRightInd w:val="0"/>
        <w:ind w:left="720"/>
        <w:jc w:val="both"/>
        <w:rPr>
          <w:u w:val="single"/>
        </w:rPr>
      </w:pPr>
    </w:p>
    <w:p w14:paraId="4BE71E6F" w14:textId="77777777" w:rsidR="00601F21" w:rsidRPr="00601F21" w:rsidRDefault="00601F21" w:rsidP="00601F21">
      <w:pPr>
        <w:autoSpaceDE w:val="0"/>
        <w:autoSpaceDN w:val="0"/>
        <w:adjustRightInd w:val="0"/>
        <w:jc w:val="both"/>
        <w:rPr>
          <w:u w:val="single"/>
        </w:rPr>
      </w:pPr>
      <w:r w:rsidRPr="00601F21">
        <w:rPr>
          <w:u w:val="single"/>
        </w:rPr>
        <w:t xml:space="preserve">La presente Proyección de Presupuesto de Egresos establece contribuciones ajustadas a la realidad económica del País con incrementos de un 15 % en la mayoría de los rubros del Capítulo 2000 materiales y suministros, así como algunos servicios del Capítulo 3000, considerando el índice inflacionario, así como en el Capítulo 1000 Servicios Personales se consideraron 6 plazas adicionales derivadas de cláusula 47 de los lineamientos generales para el trato de los empleados de confianza y cláusula 73 del Contrato Colectivo de Trabajo, así como incrementos variados al tabulador de </w:t>
      </w:r>
      <w:proofErr w:type="spellStart"/>
      <w:r w:rsidRPr="00601F21">
        <w:rPr>
          <w:u w:val="single"/>
        </w:rPr>
        <w:t>Jumapa</w:t>
      </w:r>
      <w:proofErr w:type="spellEnd"/>
      <w:r w:rsidRPr="00601F21">
        <w:rPr>
          <w:u w:val="single"/>
        </w:rPr>
        <w:t>, de acuerdo al análisis realizado por la Dirección General y Administrativa, siendo en total 536 plazas presupuestadas para el presente Anteproyecto de Presupuesto de Egresos.</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84235527"/>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785BC7" w14:textId="77777777" w:rsidR="0074332C" w:rsidRPr="00E61462" w:rsidRDefault="0074332C" w:rsidP="0074332C">
      <w:pPr>
        <w:rPr>
          <w:rFonts w:ascii="Arial" w:hAnsi="Arial" w:cs="Arial"/>
          <w:sz w:val="20"/>
          <w:szCs w:val="20"/>
          <w:u w:val="single"/>
        </w:rPr>
      </w:pPr>
      <w:r>
        <w:rPr>
          <w:rFonts w:ascii="Arial" w:hAnsi="Arial" w:cs="Arial"/>
          <w:sz w:val="20"/>
          <w:szCs w:val="20"/>
          <w:u w:val="single"/>
        </w:rPr>
        <w:t xml:space="preserve">06 de </w:t>
      </w:r>
      <w:proofErr w:type="gramStart"/>
      <w:r>
        <w:rPr>
          <w:rFonts w:ascii="Arial" w:hAnsi="Arial" w:cs="Arial"/>
          <w:sz w:val="20"/>
          <w:szCs w:val="20"/>
          <w:u w:val="single"/>
        </w:rPr>
        <w:t>Enero</w:t>
      </w:r>
      <w:proofErr w:type="gramEnd"/>
      <w:r>
        <w:rPr>
          <w:rFonts w:ascii="Arial" w:hAnsi="Arial" w:cs="Arial"/>
          <w:sz w:val="20"/>
          <w:szCs w:val="20"/>
          <w:u w:val="single"/>
        </w:rPr>
        <w:t xml:space="preserve"> de 1984.</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63120" w14:textId="77777777" w:rsidR="0074332C" w:rsidRPr="00E74967" w:rsidRDefault="0074332C" w:rsidP="0074332C">
      <w:pPr>
        <w:tabs>
          <w:tab w:val="left" w:leader="underscore" w:pos="9639"/>
        </w:tabs>
        <w:spacing w:after="0" w:line="240" w:lineRule="auto"/>
        <w:jc w:val="both"/>
        <w:rPr>
          <w:rFonts w:cs="Calibri"/>
        </w:rPr>
      </w:pP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960"/>
        <w:gridCol w:w="729"/>
      </w:tblGrid>
      <w:tr w:rsidR="00F46A6F" w:rsidRPr="00E056CB" w14:paraId="2304607E" w14:textId="77777777" w:rsidTr="00F46A6F">
        <w:trPr>
          <w:trHeight w:val="64"/>
        </w:trPr>
        <w:tc>
          <w:tcPr>
            <w:tcW w:w="1348" w:type="dxa"/>
          </w:tcPr>
          <w:p w14:paraId="3EB79754"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2435515A" w14:textId="431541E7"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2C7EA963"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1234FD9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15F0DC9A" w14:textId="2EEBD304"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544BBE82"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gridSpan w:val="2"/>
          </w:tcPr>
          <w:p w14:paraId="78D874C3" w14:textId="77777777" w:rsidR="00F46A6F" w:rsidRPr="00E056CB" w:rsidRDefault="00F46A6F" w:rsidP="004A31CF">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F46A6F" w:rsidRPr="00E056CB" w14:paraId="100551B3" w14:textId="77777777" w:rsidTr="00F46A6F">
        <w:trPr>
          <w:trHeight w:val="259"/>
        </w:trPr>
        <w:tc>
          <w:tcPr>
            <w:tcW w:w="1348" w:type="dxa"/>
          </w:tcPr>
          <w:p w14:paraId="79F67A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FD1A05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2801780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5B66B4E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0E37E9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F7423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55B45721"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27F5F57" w14:textId="77777777" w:rsidR="00F46A6F" w:rsidRPr="00E056CB" w:rsidRDefault="00F46A6F" w:rsidP="004A31CF">
            <w:pPr>
              <w:widowControl w:val="0"/>
              <w:autoSpaceDE w:val="0"/>
              <w:autoSpaceDN w:val="0"/>
              <w:adjustRightInd w:val="0"/>
              <w:ind w:left="720"/>
              <w:contextualSpacing/>
              <w:rPr>
                <w:rFonts w:ascii="Arial" w:hAnsi="Arial" w:cs="Arial"/>
                <w:sz w:val="10"/>
                <w:szCs w:val="10"/>
              </w:rPr>
            </w:pPr>
          </w:p>
        </w:tc>
        <w:tc>
          <w:tcPr>
            <w:tcW w:w="1418" w:type="dxa"/>
            <w:gridSpan w:val="2"/>
          </w:tcPr>
          <w:p w14:paraId="6B79319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371704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51ECA07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DD4E5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6B68B10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A5D71D4"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5  DIRECTORES</w:t>
            </w:r>
            <w:proofErr w:type="gramEnd"/>
          </w:p>
          <w:p w14:paraId="5DE4A2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743120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5316B429" w14:textId="4C69E783"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90A762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163167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162002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47AD2DC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9C272C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13B91DD3"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3FB9D49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gridSpan w:val="2"/>
          </w:tcPr>
          <w:p w14:paraId="571E3DE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E39FA4C"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5144099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A314A8A"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F46A6F" w:rsidRPr="00E056CB" w14:paraId="3BDAAB87" w14:textId="77777777" w:rsidTr="00F46A6F">
        <w:trPr>
          <w:trHeight w:val="59"/>
        </w:trPr>
        <w:tc>
          <w:tcPr>
            <w:tcW w:w="1348" w:type="dxa"/>
          </w:tcPr>
          <w:p w14:paraId="371BF108" w14:textId="77777777" w:rsidR="00F46A6F" w:rsidRPr="00E056CB" w:rsidRDefault="00F46A6F" w:rsidP="004A31CF">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45FA91C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38B853C5"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12726E6E"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4B033ED6" w14:textId="528C5CB9"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568E7F84" w14:textId="77777777" w:rsidR="00F46A6F" w:rsidRPr="00E056CB" w:rsidRDefault="00F46A6F" w:rsidP="004A31CF">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gridSpan w:val="2"/>
          </w:tcPr>
          <w:p w14:paraId="33BEDABF" w14:textId="4A4409D4" w:rsidR="00F46A6F" w:rsidRPr="00E056CB" w:rsidRDefault="00F46A6F" w:rsidP="00F46A6F">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F46A6F" w:rsidRPr="00E056CB" w14:paraId="5BB1799A" w14:textId="77777777" w:rsidTr="00F46A6F">
        <w:trPr>
          <w:trHeight w:val="103"/>
        </w:trPr>
        <w:tc>
          <w:tcPr>
            <w:tcW w:w="1348" w:type="dxa"/>
          </w:tcPr>
          <w:p w14:paraId="4EF3213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04E76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D37248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781CC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19901D54"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8C1E18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0F5D2DB"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1A6FB1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7DFB91E5"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718F7A7"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3E1919E"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14  GERENCIAS</w:t>
            </w:r>
            <w:proofErr w:type="gramEnd"/>
          </w:p>
          <w:p w14:paraId="0F9C2CF9"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757606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BDF7A60"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5766851F"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130DE4B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170BC38E" w14:textId="148D0C36"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959E339" w14:textId="77777777" w:rsidR="00F46A6F" w:rsidRPr="00E056CB" w:rsidRDefault="00F46A6F" w:rsidP="004A31CF">
            <w:pPr>
              <w:widowControl w:val="0"/>
              <w:autoSpaceDE w:val="0"/>
              <w:autoSpaceDN w:val="0"/>
              <w:adjustRightInd w:val="0"/>
              <w:contextualSpacing/>
              <w:rPr>
                <w:rFonts w:ascii="Arial" w:hAnsi="Arial" w:cs="Arial"/>
                <w:sz w:val="10"/>
                <w:szCs w:val="10"/>
              </w:rPr>
            </w:pPr>
            <w:proofErr w:type="gramStart"/>
            <w:r w:rsidRPr="00E056CB">
              <w:rPr>
                <w:rFonts w:ascii="Arial" w:hAnsi="Arial" w:cs="Arial"/>
                <w:sz w:val="10"/>
                <w:szCs w:val="10"/>
              </w:rPr>
              <w:t>6  DIRECTORES</w:t>
            </w:r>
            <w:proofErr w:type="gramEnd"/>
          </w:p>
          <w:p w14:paraId="486EC3D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C5D0466"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777E9458"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E0DE543"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proofErr w:type="gramStart"/>
            <w:r>
              <w:rPr>
                <w:rFonts w:ascii="Arial" w:hAnsi="Arial" w:cs="Arial"/>
                <w:color w:val="000000"/>
                <w:sz w:val="10"/>
                <w:szCs w:val="10"/>
              </w:rPr>
              <w:t>8</w:t>
            </w:r>
            <w:r w:rsidRPr="00494586">
              <w:rPr>
                <w:rFonts w:ascii="Arial" w:hAnsi="Arial" w:cs="Arial"/>
                <w:color w:val="000000"/>
                <w:sz w:val="10"/>
                <w:szCs w:val="10"/>
              </w:rPr>
              <w:t xml:space="preserve">  DIRECTORES</w:t>
            </w:r>
            <w:proofErr w:type="gramEnd"/>
          </w:p>
          <w:p w14:paraId="06210765"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3C256F2E" w14:textId="77777777" w:rsidR="00F46A6F" w:rsidRPr="00E056CB" w:rsidRDefault="00F46A6F" w:rsidP="004A31CF">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gridSpan w:val="2"/>
          </w:tcPr>
          <w:p w14:paraId="0327081D"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B6EF031"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proofErr w:type="gramStart"/>
            <w:r>
              <w:rPr>
                <w:rFonts w:ascii="Arial" w:hAnsi="Arial" w:cs="Arial"/>
                <w:color w:val="000000"/>
                <w:sz w:val="10"/>
                <w:szCs w:val="10"/>
              </w:rPr>
              <w:t xml:space="preserve">8 </w:t>
            </w:r>
            <w:r w:rsidRPr="00494586">
              <w:rPr>
                <w:rFonts w:ascii="Arial" w:hAnsi="Arial" w:cs="Arial"/>
                <w:color w:val="000000"/>
                <w:sz w:val="10"/>
                <w:szCs w:val="10"/>
              </w:rPr>
              <w:t xml:space="preserve"> DIRECTORES</w:t>
            </w:r>
            <w:proofErr w:type="gramEnd"/>
          </w:p>
          <w:p w14:paraId="3A014F5C" w14:textId="77777777" w:rsidR="00F46A6F" w:rsidRPr="00494586" w:rsidRDefault="00F46A6F" w:rsidP="004A31CF">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5F4E58CC" w14:textId="77777777" w:rsidR="00F46A6F" w:rsidRPr="00E056CB" w:rsidRDefault="00F46A6F" w:rsidP="004A31CF">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FF7067" w:rsidRPr="00E056CB" w14:paraId="4507279D" w14:textId="2A9CD486" w:rsidTr="00124F33">
        <w:trPr>
          <w:gridAfter w:val="1"/>
          <w:wAfter w:w="729" w:type="dxa"/>
          <w:trHeight w:val="59"/>
        </w:trPr>
        <w:tc>
          <w:tcPr>
            <w:tcW w:w="1348" w:type="dxa"/>
          </w:tcPr>
          <w:p w14:paraId="4292ED93" w14:textId="77777777" w:rsidR="00FF7067" w:rsidRPr="00E056CB" w:rsidRDefault="00FF7067" w:rsidP="00FF7067">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9B0F812" w14:textId="77777777" w:rsidR="00FF7067" w:rsidRPr="00E056CB" w:rsidRDefault="00FF7067" w:rsidP="00FF7067">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52991F2" w14:textId="77777777" w:rsidR="00FF7067" w:rsidRPr="00E056CB" w:rsidRDefault="00FF7067" w:rsidP="00FF7067">
            <w:pPr>
              <w:spacing w:after="0" w:line="240" w:lineRule="auto"/>
              <w:jc w:val="right"/>
            </w:pPr>
            <w:r>
              <w:rPr>
                <w:rFonts w:ascii="Arial" w:hAnsi="Arial" w:cs="Arial"/>
                <w:b/>
                <w:sz w:val="16"/>
                <w:szCs w:val="10"/>
              </w:rPr>
              <w:t>2018</w:t>
            </w:r>
          </w:p>
        </w:tc>
        <w:tc>
          <w:tcPr>
            <w:tcW w:w="1348" w:type="dxa"/>
            <w:gridSpan w:val="2"/>
          </w:tcPr>
          <w:p w14:paraId="16D0CEBA" w14:textId="77777777" w:rsidR="00FF7067" w:rsidRPr="00E056CB" w:rsidRDefault="00FF7067" w:rsidP="00FF7067">
            <w:pPr>
              <w:spacing w:after="0" w:line="240" w:lineRule="auto"/>
              <w:jc w:val="right"/>
            </w:pPr>
            <w:r>
              <w:rPr>
                <w:rFonts w:ascii="Arial" w:hAnsi="Arial" w:cs="Arial"/>
                <w:b/>
                <w:sz w:val="16"/>
                <w:szCs w:val="10"/>
              </w:rPr>
              <w:t>2019</w:t>
            </w:r>
          </w:p>
        </w:tc>
        <w:tc>
          <w:tcPr>
            <w:tcW w:w="1348" w:type="dxa"/>
            <w:gridSpan w:val="2"/>
          </w:tcPr>
          <w:p w14:paraId="639778EE" w14:textId="77777777" w:rsidR="00FF7067" w:rsidRPr="00E056CB" w:rsidRDefault="00FF7067" w:rsidP="00FF7067">
            <w:pPr>
              <w:spacing w:after="0" w:line="240" w:lineRule="auto"/>
              <w:jc w:val="both"/>
            </w:pPr>
            <w:r>
              <w:rPr>
                <w:rFonts w:ascii="Arial" w:hAnsi="Arial" w:cs="Arial"/>
                <w:b/>
                <w:sz w:val="16"/>
                <w:szCs w:val="10"/>
              </w:rPr>
              <w:t xml:space="preserve">                 2020</w:t>
            </w:r>
          </w:p>
        </w:tc>
        <w:tc>
          <w:tcPr>
            <w:tcW w:w="1348" w:type="dxa"/>
            <w:gridSpan w:val="2"/>
          </w:tcPr>
          <w:p w14:paraId="480D37CC" w14:textId="04A366D4" w:rsidR="00FF7067" w:rsidRDefault="00FF7067" w:rsidP="00FF7067">
            <w:pPr>
              <w:spacing w:after="0" w:line="240" w:lineRule="auto"/>
              <w:jc w:val="right"/>
              <w:rPr>
                <w:rFonts w:ascii="Arial" w:hAnsi="Arial" w:cs="Arial"/>
                <w:b/>
                <w:sz w:val="16"/>
                <w:szCs w:val="10"/>
              </w:rPr>
            </w:pPr>
            <w:r>
              <w:rPr>
                <w:rFonts w:ascii="Arial" w:hAnsi="Arial" w:cs="Arial"/>
                <w:b/>
                <w:sz w:val="16"/>
                <w:szCs w:val="10"/>
              </w:rPr>
              <w:t>2021</w:t>
            </w:r>
          </w:p>
        </w:tc>
        <w:tc>
          <w:tcPr>
            <w:tcW w:w="1348" w:type="dxa"/>
            <w:gridSpan w:val="2"/>
          </w:tcPr>
          <w:p w14:paraId="5D91E0D6" w14:textId="3558D4CF" w:rsidR="00FF7067" w:rsidRPr="00E056CB" w:rsidRDefault="00FF7067" w:rsidP="00FF7067">
            <w:pPr>
              <w:spacing w:after="0" w:line="240" w:lineRule="auto"/>
              <w:jc w:val="right"/>
            </w:pPr>
            <w:r>
              <w:rPr>
                <w:rFonts w:ascii="Arial" w:hAnsi="Arial" w:cs="Arial"/>
                <w:b/>
                <w:sz w:val="16"/>
                <w:szCs w:val="10"/>
              </w:rPr>
              <w:t>2022</w:t>
            </w:r>
          </w:p>
        </w:tc>
      </w:tr>
      <w:tr w:rsidR="00FF7067" w:rsidRPr="00E056CB" w14:paraId="28E9CA3B" w14:textId="6EC98A1A" w:rsidTr="00124F33">
        <w:trPr>
          <w:gridAfter w:val="1"/>
          <w:wAfter w:w="729" w:type="dxa"/>
          <w:trHeight w:val="710"/>
        </w:trPr>
        <w:tc>
          <w:tcPr>
            <w:tcW w:w="1348" w:type="dxa"/>
          </w:tcPr>
          <w:p w14:paraId="3E87941E"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24A13D1"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1EE73FB9"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28846D5B" w14:textId="77777777" w:rsidR="00FF7067" w:rsidRPr="00E056CB" w:rsidRDefault="00FF7067" w:rsidP="00FF7067">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7B640B0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8081CFB"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7A4C9263"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698CB8F" w14:textId="77777777" w:rsidR="00FF7067" w:rsidRPr="00E056CB" w:rsidRDefault="00FF7067" w:rsidP="00FF7067">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0EC626DC"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2CD8DB4"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2C20CAF"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96D4454"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1FE3318C" w14:textId="77777777" w:rsidR="00FF7067" w:rsidRPr="00E056CB" w:rsidRDefault="00FF7067" w:rsidP="00FF7067">
            <w:pPr>
              <w:spacing w:after="0" w:line="240" w:lineRule="auto"/>
            </w:pPr>
            <w:r>
              <w:rPr>
                <w:rFonts w:ascii="Arial" w:hAnsi="Arial" w:cs="Arial"/>
                <w:color w:val="000000"/>
                <w:sz w:val="10"/>
                <w:szCs w:val="10"/>
              </w:rPr>
              <w:t>1 CONTRALORIA INTERNA</w:t>
            </w:r>
          </w:p>
        </w:tc>
        <w:tc>
          <w:tcPr>
            <w:tcW w:w="1348" w:type="dxa"/>
            <w:gridSpan w:val="2"/>
          </w:tcPr>
          <w:p w14:paraId="69F088F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BC38C60"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7ED2980"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505DD92F"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3B61B711" w14:textId="77777777" w:rsidR="00FF7067" w:rsidRPr="00E056CB" w:rsidRDefault="00FF7067" w:rsidP="00FF7067">
            <w:pPr>
              <w:spacing w:after="0" w:line="240" w:lineRule="auto"/>
            </w:pPr>
            <w:r>
              <w:rPr>
                <w:rFonts w:ascii="Arial" w:hAnsi="Arial" w:cs="Arial"/>
                <w:color w:val="000000"/>
                <w:sz w:val="10"/>
                <w:szCs w:val="10"/>
              </w:rPr>
              <w:t>1 CONTRALORIA INTERNA</w:t>
            </w:r>
          </w:p>
        </w:tc>
        <w:tc>
          <w:tcPr>
            <w:tcW w:w="1348" w:type="dxa"/>
            <w:gridSpan w:val="2"/>
          </w:tcPr>
          <w:p w14:paraId="2EB8DC9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4F38FC2"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EDEC57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134A44B8"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233AFC32" w14:textId="77777777" w:rsidR="00FF7067" w:rsidRPr="00E056CB" w:rsidRDefault="00FF7067" w:rsidP="00FF7067">
            <w:pPr>
              <w:spacing w:after="0" w:line="240" w:lineRule="auto"/>
            </w:pPr>
            <w:r>
              <w:rPr>
                <w:rFonts w:ascii="Arial" w:hAnsi="Arial" w:cs="Arial"/>
                <w:color w:val="000000"/>
                <w:sz w:val="10"/>
                <w:szCs w:val="10"/>
              </w:rPr>
              <w:t>1 CONTRALORIA INTERNA</w:t>
            </w:r>
          </w:p>
        </w:tc>
        <w:tc>
          <w:tcPr>
            <w:tcW w:w="1348" w:type="dxa"/>
            <w:gridSpan w:val="2"/>
          </w:tcPr>
          <w:p w14:paraId="7CA77C0D"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04EF76F" w14:textId="158B6DB2"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07728C7" w14:textId="47530809" w:rsidR="00FF7067" w:rsidRPr="00494586" w:rsidRDefault="00FF7067" w:rsidP="00FF7067">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66430C2" w14:textId="73C7443B"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4786D8F3" w14:textId="2CAF73D8" w:rsidR="00FF7067" w:rsidRPr="00494586" w:rsidRDefault="00FF7067" w:rsidP="00FF7067">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c>
          <w:tcPr>
            <w:tcW w:w="1348" w:type="dxa"/>
            <w:gridSpan w:val="2"/>
          </w:tcPr>
          <w:p w14:paraId="2BE84533"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8B3783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817A2C8" w14:textId="77777777" w:rsidR="00FF7067" w:rsidRPr="00494586" w:rsidRDefault="00FF7067" w:rsidP="00FF7067">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6DCCB376" w14:textId="77777777" w:rsidR="00FF7067" w:rsidRDefault="00FF7067" w:rsidP="00FF7067">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44C3F058" w14:textId="610DA9C8" w:rsidR="00FF7067" w:rsidRPr="00E056CB" w:rsidRDefault="00FF7067" w:rsidP="00FF7067">
            <w:pPr>
              <w:spacing w:after="0" w:line="240" w:lineRule="auto"/>
            </w:pPr>
            <w:r>
              <w:rPr>
                <w:rFonts w:ascii="Arial" w:hAnsi="Arial" w:cs="Arial"/>
                <w:color w:val="000000"/>
                <w:sz w:val="10"/>
                <w:szCs w:val="10"/>
              </w:rPr>
              <w:t>1 CONTRALORIA INTERNA</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8423552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18413ED" w14:textId="77777777" w:rsidR="0074332C" w:rsidRPr="00A36CC2" w:rsidRDefault="0074332C" w:rsidP="0074332C">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34CD139" w14:textId="77777777" w:rsidR="0074332C" w:rsidRPr="00E7588A" w:rsidRDefault="0074332C" w:rsidP="0074332C">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DFBD5F7" w14:textId="381A9D01" w:rsidR="0074332C" w:rsidRDefault="005B032F" w:rsidP="0074332C">
      <w:pPr>
        <w:rPr>
          <w:rFonts w:ascii="Arial" w:hAnsi="Arial" w:cs="Arial"/>
          <w:sz w:val="20"/>
          <w:szCs w:val="20"/>
          <w:u w:val="single"/>
        </w:rPr>
      </w:pPr>
      <w:r>
        <w:rPr>
          <w:rFonts w:ascii="Arial" w:hAnsi="Arial" w:cs="Arial"/>
          <w:sz w:val="20"/>
          <w:szCs w:val="20"/>
          <w:u w:val="single"/>
        </w:rPr>
        <w:t xml:space="preserve">Enero a </w:t>
      </w:r>
      <w:r w:rsidR="00064C12">
        <w:rPr>
          <w:rFonts w:ascii="Arial" w:hAnsi="Arial" w:cs="Arial"/>
          <w:sz w:val="20"/>
          <w:szCs w:val="20"/>
          <w:u w:val="single"/>
        </w:rPr>
        <w:t>diciembre</w:t>
      </w:r>
      <w:r>
        <w:rPr>
          <w:rFonts w:ascii="Arial" w:hAnsi="Arial" w:cs="Arial"/>
          <w:sz w:val="20"/>
          <w:szCs w:val="20"/>
          <w:u w:val="single"/>
        </w:rPr>
        <w:t xml:space="preserve"> de</w:t>
      </w:r>
      <w:r w:rsidR="0074332C" w:rsidRPr="00CF5D19">
        <w:rPr>
          <w:rFonts w:ascii="Arial" w:hAnsi="Arial" w:cs="Arial"/>
          <w:sz w:val="20"/>
          <w:szCs w:val="20"/>
          <w:u w:val="single"/>
        </w:rPr>
        <w:t xml:space="preserve"> 20</w:t>
      </w:r>
      <w:r w:rsidR="0074332C">
        <w:rPr>
          <w:rFonts w:ascii="Arial" w:hAnsi="Arial" w:cs="Arial"/>
          <w:sz w:val="20"/>
          <w:szCs w:val="20"/>
          <w:u w:val="single"/>
        </w:rPr>
        <w:t>2</w:t>
      </w:r>
      <w:r w:rsidR="00EA53AD">
        <w:rPr>
          <w:rFonts w:ascii="Arial" w:hAnsi="Arial" w:cs="Arial"/>
          <w:sz w:val="20"/>
          <w:szCs w:val="20"/>
          <w:u w:val="single"/>
        </w:rPr>
        <w:t>2</w:t>
      </w:r>
      <w:r w:rsidR="0074332C" w:rsidRPr="00CF5D19">
        <w:rPr>
          <w:rFonts w:ascii="Arial" w:hAnsi="Arial" w:cs="Arial"/>
          <w:sz w:val="20"/>
          <w:szCs w:val="20"/>
          <w:u w:val="single"/>
        </w:rPr>
        <w:t>.</w:t>
      </w:r>
      <w:r w:rsidR="0074332C">
        <w:rPr>
          <w:rFonts w:ascii="Arial" w:hAnsi="Arial" w:cs="Arial"/>
          <w:sz w:val="20"/>
          <w:szCs w:val="20"/>
          <w:u w:val="single"/>
        </w:rPr>
        <w:t xml:space="preserv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E489DD4" w14:textId="77777777" w:rsidR="0074332C" w:rsidRPr="000D7D75" w:rsidRDefault="0074332C" w:rsidP="0074332C">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C09B8A" w14:textId="5706B210" w:rsidR="0074332C" w:rsidRDefault="0074332C" w:rsidP="0074332C">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 sobre </w:t>
      </w:r>
      <w:r w:rsidR="00F46A6F">
        <w:rPr>
          <w:rFonts w:ascii="Arial" w:hAnsi="Arial" w:cs="Arial"/>
          <w:sz w:val="20"/>
          <w:szCs w:val="20"/>
          <w:u w:val="single"/>
        </w:rPr>
        <w:t>Nóminas</w:t>
      </w:r>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ISR Extranjeros</w:t>
      </w:r>
      <w:r w:rsidR="004A5298">
        <w:rPr>
          <w:rFonts w:ascii="Arial" w:hAnsi="Arial" w:cs="Arial"/>
          <w:sz w:val="20"/>
          <w:szCs w:val="20"/>
          <w:u w:val="single"/>
        </w:rPr>
        <w:t>, ISR Asimilados.</w:t>
      </w:r>
      <w:r>
        <w:rPr>
          <w:rFonts w:ascii="Arial" w:hAnsi="Arial" w:cs="Arial"/>
          <w:sz w:val="20"/>
          <w:szCs w:val="20"/>
          <w:u w:val="single"/>
        </w:rPr>
        <w:t xml:space="preserve">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39B0D46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4FD1416B" w14:textId="72F4F2CB" w:rsidR="00540A12" w:rsidRPr="00E74967" w:rsidRDefault="00540A12" w:rsidP="00F46A6F">
      <w:pPr>
        <w:tabs>
          <w:tab w:val="left" w:leader="underscore" w:pos="9639"/>
        </w:tabs>
        <w:spacing w:after="0" w:line="240" w:lineRule="auto"/>
        <w:ind w:firstLine="708"/>
        <w:jc w:val="center"/>
        <w:rPr>
          <w:rFonts w:cs="Calibri"/>
        </w:rPr>
      </w:pPr>
    </w:p>
    <w:p w14:paraId="3450C629" w14:textId="225345EC" w:rsidR="007D1E76" w:rsidRDefault="00E71ED4" w:rsidP="00CB41C4">
      <w:pPr>
        <w:tabs>
          <w:tab w:val="left" w:leader="underscore" w:pos="9639"/>
        </w:tabs>
        <w:spacing w:after="0" w:line="240" w:lineRule="auto"/>
        <w:jc w:val="both"/>
        <w:rPr>
          <w:rFonts w:cs="Calibri"/>
        </w:rPr>
      </w:pPr>
      <w:r w:rsidRPr="00E71ED4">
        <w:rPr>
          <w:rFonts w:cs="Calibri"/>
          <w:noProof/>
        </w:rPr>
        <w:drawing>
          <wp:inline distT="0" distB="0" distL="0" distR="0" wp14:anchorId="6FAE2D99" wp14:editId="1B0EAAA8">
            <wp:extent cx="6151880" cy="3491230"/>
            <wp:effectExtent l="0" t="0" r="127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13"/>
                    <a:stretch>
                      <a:fillRect/>
                    </a:stretch>
                  </pic:blipFill>
                  <pic:spPr>
                    <a:xfrm>
                      <a:off x="0" y="0"/>
                      <a:ext cx="6151880" cy="3491230"/>
                    </a:xfrm>
                    <a:prstGeom prst="rect">
                      <a:avLst/>
                    </a:prstGeom>
                  </pic:spPr>
                </pic:pic>
              </a:graphicData>
            </a:graphic>
          </wp:inline>
        </w:drawing>
      </w:r>
    </w:p>
    <w:p w14:paraId="12A44CF0" w14:textId="77777777" w:rsidR="00E71ED4" w:rsidRDefault="00E71ED4"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273B2E4B" w:rsidR="007D1E76" w:rsidRPr="00E74967" w:rsidRDefault="004A5298" w:rsidP="00CB41C4">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w:t>
      </w:r>
      <w:r w:rsidR="00064C12" w:rsidRPr="008A41BD">
        <w:rPr>
          <w:rFonts w:asciiTheme="minorHAnsi" w:hAnsiTheme="minorHAnsi" w:cstheme="minorHAnsi"/>
          <w:u w:val="single"/>
        </w:rPr>
        <w:t>CT. -</w:t>
      </w:r>
      <w:r w:rsidRPr="008A41BD">
        <w:rPr>
          <w:rFonts w:asciiTheme="minorHAnsi" w:hAnsiTheme="minorHAnsi" w:cstheme="minorHAnsi"/>
          <w:u w:val="single"/>
        </w:rPr>
        <w:t xml:space="preserve">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8423552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8204A61" w14:textId="0AB9FD61" w:rsidR="004A5298" w:rsidRDefault="004A5298" w:rsidP="004A5298">
      <w:pPr>
        <w:rPr>
          <w:rFonts w:ascii="Arial" w:hAnsi="Arial" w:cs="Arial"/>
          <w:sz w:val="20"/>
          <w:szCs w:val="20"/>
          <w:u w:val="single"/>
        </w:rPr>
      </w:pPr>
      <w:r w:rsidRPr="000D7D75">
        <w:rPr>
          <w:rFonts w:ascii="Arial" w:hAnsi="Arial" w:cs="Arial"/>
          <w:sz w:val="20"/>
          <w:szCs w:val="20"/>
          <w:u w:val="single"/>
        </w:rPr>
        <w:t>SI.</w:t>
      </w:r>
    </w:p>
    <w:p w14:paraId="73F52BD1" w14:textId="2F8A027E"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8E65E0" w14:textId="77777777" w:rsidR="004A5298" w:rsidRPr="00E74967" w:rsidRDefault="004A5298" w:rsidP="00CB41C4">
      <w:pPr>
        <w:tabs>
          <w:tab w:val="left" w:leader="underscore" w:pos="9639"/>
        </w:tabs>
        <w:spacing w:after="0" w:line="240" w:lineRule="auto"/>
        <w:jc w:val="both"/>
        <w:rPr>
          <w:rFonts w:cs="Calibri"/>
        </w:rPr>
      </w:pPr>
    </w:p>
    <w:p w14:paraId="6EAB1F40"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E3F11C" w14:textId="77777777" w:rsidR="004A5298" w:rsidRPr="00771743" w:rsidRDefault="004A5298" w:rsidP="004A5298">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D77425"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4CE8BF0"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3F0D6CB3" w14:textId="77777777" w:rsidR="004A5298" w:rsidRDefault="004A5298" w:rsidP="00CB41C4">
      <w:pPr>
        <w:tabs>
          <w:tab w:val="left" w:leader="underscore" w:pos="9639"/>
        </w:tabs>
        <w:spacing w:after="0" w:line="240" w:lineRule="auto"/>
        <w:jc w:val="both"/>
        <w:rPr>
          <w:rFonts w:cs="Calibri"/>
        </w:rPr>
      </w:pPr>
    </w:p>
    <w:p w14:paraId="6BEBABB5" w14:textId="799AB48D"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9852868" w14:textId="3C78EB5F"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5EA791A" w14:textId="77777777" w:rsidR="004A5298" w:rsidRDefault="004A5298" w:rsidP="004A5298">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585807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360043A" w14:textId="6D74D112" w:rsidR="007D1E76" w:rsidRPr="00E74967" w:rsidRDefault="007D1E76" w:rsidP="00CB41C4">
      <w:pPr>
        <w:tabs>
          <w:tab w:val="left" w:leader="underscore" w:pos="9639"/>
        </w:tabs>
        <w:spacing w:after="0" w:line="240" w:lineRule="auto"/>
        <w:jc w:val="both"/>
        <w:rPr>
          <w:rFonts w:cs="Calibri"/>
        </w:rPr>
      </w:pPr>
    </w:p>
    <w:p w14:paraId="158EC49E" w14:textId="556DF98A" w:rsidR="007D1E76"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84235530"/>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15F8747"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A2777D6"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35FCED94"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67CB813A"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5297DB8"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C266F1C" w14:textId="77777777" w:rsidR="004A5298" w:rsidRPr="008F0698" w:rsidRDefault="004A5298" w:rsidP="004A5298">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8E8E58"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1EEEAF2" w14:textId="1E5364FB" w:rsidR="005B032F" w:rsidRPr="003C0BA3" w:rsidRDefault="005B032F" w:rsidP="005B032F">
      <w:pPr>
        <w:rPr>
          <w:rFonts w:ascii="Arial" w:hAnsi="Arial" w:cs="Arial"/>
          <w:sz w:val="20"/>
          <w:szCs w:val="20"/>
          <w:u w:val="single"/>
        </w:rPr>
      </w:pPr>
      <w:r w:rsidRPr="003C0BA3">
        <w:rPr>
          <w:rFonts w:ascii="Arial" w:hAnsi="Arial" w:cs="Arial"/>
          <w:sz w:val="20"/>
          <w:szCs w:val="20"/>
          <w:u w:val="single"/>
        </w:rPr>
        <w:t xml:space="preserve">Provisiones de Ejercicios Anteriores </w:t>
      </w:r>
      <w:r>
        <w:rPr>
          <w:rFonts w:ascii="Arial" w:hAnsi="Arial" w:cs="Arial"/>
          <w:sz w:val="20"/>
          <w:szCs w:val="20"/>
          <w:u w:val="single"/>
        </w:rPr>
        <w:t>$</w:t>
      </w:r>
      <w:r w:rsidR="00064C12">
        <w:rPr>
          <w:rFonts w:ascii="Arial" w:hAnsi="Arial" w:cs="Arial"/>
          <w:sz w:val="20"/>
          <w:szCs w:val="20"/>
          <w:u w:val="single"/>
        </w:rPr>
        <w:t>1,004,251.99</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56F5C6F" w14:textId="77777777" w:rsidR="004A5298" w:rsidRPr="005B032F" w:rsidRDefault="004A5298" w:rsidP="004A5298">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D187EFB"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4696C24" w14:textId="31B8E43B"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6E34F0"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29700D6" w:rsidR="007D1E76" w:rsidRPr="005B032F" w:rsidRDefault="00886E46" w:rsidP="005B032F">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sidR="005B032F">
        <w:rPr>
          <w:rFonts w:ascii="Arial" w:hAnsi="Arial" w:cs="Arial"/>
          <w:sz w:val="20"/>
          <w:szCs w:val="20"/>
          <w:u w:val="single"/>
        </w:rPr>
        <w:t>.</w:t>
      </w:r>
      <w:r w:rsidRPr="008F0698">
        <w:rPr>
          <w:rFonts w:ascii="Arial" w:hAnsi="Arial" w:cs="Arial"/>
          <w:sz w:val="20"/>
          <w:szCs w:val="20"/>
          <w:u w:val="single"/>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8423553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2DC4B27"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3F08C55"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5A1E0B4"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4FFA38F"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6D39CD3"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F33FA3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C68CB6E"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B51256F"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4D659BA"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3BA699C" w14:textId="77777777" w:rsidR="007D1E76" w:rsidRPr="005B032F" w:rsidRDefault="007D1E76" w:rsidP="00CB41C4">
      <w:pPr>
        <w:tabs>
          <w:tab w:val="left" w:leader="underscore" w:pos="9639"/>
        </w:tabs>
        <w:spacing w:after="0" w:line="240" w:lineRule="auto"/>
        <w:jc w:val="both"/>
        <w:rPr>
          <w:rFonts w:ascii="Arial" w:hAnsi="Arial" w:cs="Arial"/>
          <w:sz w:val="20"/>
          <w:szCs w:val="20"/>
          <w:u w:val="single"/>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84235532"/>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BF5EBF8" w14:textId="54AD45CB" w:rsidR="00886E46" w:rsidRPr="008F0698" w:rsidRDefault="002558CF" w:rsidP="005B032F">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t xml:space="preserve">De manera anual se deprecian de la siguiente manera: </w:t>
      </w:r>
      <w:r w:rsidR="00886E46" w:rsidRPr="002558CF">
        <w:rPr>
          <w:rFonts w:ascii="Arial" w:hAnsi="Arial" w:cs="Arial"/>
          <w:sz w:val="20"/>
          <w:szCs w:val="20"/>
          <w:u w:val="single"/>
        </w:rPr>
        <w:t>M</w:t>
      </w:r>
      <w:r w:rsidRPr="002558CF">
        <w:rPr>
          <w:rFonts w:ascii="Arial" w:hAnsi="Arial" w:cs="Arial"/>
          <w:sz w:val="20"/>
          <w:szCs w:val="20"/>
          <w:u w:val="single"/>
        </w:rPr>
        <w:t>uebles de Oficina 10%, Equipo de Cómputo 33.3</w:t>
      </w:r>
      <w:r w:rsidR="00886E46" w:rsidRPr="002558CF">
        <w:rPr>
          <w:rFonts w:ascii="Arial" w:hAnsi="Arial" w:cs="Arial"/>
          <w:sz w:val="20"/>
          <w:szCs w:val="20"/>
          <w:u w:val="single"/>
        </w:rPr>
        <w:t>%</w:t>
      </w:r>
      <w:r w:rsidRPr="002558CF">
        <w:rPr>
          <w:rFonts w:ascii="Arial" w:hAnsi="Arial" w:cs="Arial"/>
          <w:sz w:val="20"/>
          <w:szCs w:val="20"/>
          <w:u w:val="single"/>
        </w:rPr>
        <w:t xml:space="preserve">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C73D174" w14:textId="7C8947AE" w:rsidR="00886E46" w:rsidRDefault="00886E46" w:rsidP="00886E46">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98FD486" w14:textId="77777777" w:rsidR="00886E46" w:rsidRPr="007653AB" w:rsidRDefault="00886E46" w:rsidP="00886E46">
      <w:pPr>
        <w:tabs>
          <w:tab w:val="left" w:leader="underscore" w:pos="9639"/>
        </w:tabs>
        <w:spacing w:after="0" w:line="240" w:lineRule="auto"/>
        <w:jc w:val="both"/>
        <w:rPr>
          <w:rFonts w:asciiTheme="minorHAnsi" w:hAnsiTheme="minorHAnsi" w:cstheme="minorHAnsi"/>
          <w:sz w:val="24"/>
          <w:szCs w:val="24"/>
          <w:u w:val="single"/>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3507CF9" w14:textId="77777777" w:rsidR="005B032F" w:rsidRDefault="005B032F" w:rsidP="005B032F">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789A1CD" w14:textId="6E696D6E" w:rsidR="00886E46" w:rsidRPr="008F0698" w:rsidRDefault="00886E46" w:rsidP="00886E46">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 xml:space="preserve">tán </w:t>
      </w:r>
      <w:r w:rsidR="005B032F">
        <w:rPr>
          <w:rFonts w:ascii="Arial" w:hAnsi="Arial" w:cs="Arial"/>
          <w:sz w:val="20"/>
          <w:szCs w:val="20"/>
          <w:u w:val="single"/>
        </w:rPr>
        <w:t>ines</w:t>
      </w:r>
      <w:r>
        <w:rPr>
          <w:rFonts w:ascii="Arial" w:hAnsi="Arial" w:cs="Arial"/>
          <w:sz w:val="20"/>
          <w:szCs w:val="20"/>
          <w:u w:val="single"/>
        </w:rPr>
        <w:t xml:space="preserve">tables en un promedio de </w:t>
      </w:r>
      <w:r w:rsidR="00685200">
        <w:rPr>
          <w:rFonts w:ascii="Arial" w:hAnsi="Arial" w:cs="Arial"/>
          <w:sz w:val="20"/>
          <w:szCs w:val="20"/>
          <w:u w:val="single"/>
        </w:rPr>
        <w:t>4</w:t>
      </w:r>
      <w:r w:rsidRPr="008F0698">
        <w:rPr>
          <w:rFonts w:ascii="Arial" w:hAnsi="Arial" w:cs="Arial"/>
          <w:sz w:val="20"/>
          <w:szCs w:val="20"/>
          <w:u w:val="single"/>
        </w:rPr>
        <w:t>% Anual.</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1CD6EA5" w14:textId="77777777" w:rsidR="00886E46" w:rsidRPr="005B032F" w:rsidRDefault="00886E46" w:rsidP="00886E46">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569FCE5" w14:textId="7437F561" w:rsidR="007D1E76" w:rsidRPr="00E74967" w:rsidRDefault="007D1E76" w:rsidP="00CB41C4">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E042430"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ED2C05" w14:textId="77777777" w:rsidR="005B032F" w:rsidRPr="005B032F" w:rsidRDefault="005B032F" w:rsidP="005B032F">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E64299" w14:textId="730F606F" w:rsidR="00886E46" w:rsidRPr="006D67B0" w:rsidRDefault="00886E46" w:rsidP="00886E46">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sidR="005B032F">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sidR="005B032F">
        <w:rPr>
          <w:rFonts w:ascii="Arial" w:hAnsi="Arial" w:cs="Arial"/>
          <w:sz w:val="20"/>
          <w:szCs w:val="20"/>
          <w:u w:val="single"/>
        </w:rPr>
        <w:t>.</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316372C9" w14:textId="36AEA497" w:rsidR="005B032F" w:rsidRDefault="007D1E76" w:rsidP="005B032F">
      <w:pPr>
        <w:pStyle w:val="Prrafodelista"/>
        <w:numPr>
          <w:ilvl w:val="0"/>
          <w:numId w:val="2"/>
        </w:numPr>
        <w:tabs>
          <w:tab w:val="left" w:leader="underscore" w:pos="9639"/>
        </w:tabs>
        <w:spacing w:after="0" w:line="240" w:lineRule="auto"/>
        <w:jc w:val="both"/>
        <w:rPr>
          <w:rFonts w:cs="Calibri"/>
        </w:rPr>
      </w:pPr>
      <w:r w:rsidRPr="005B032F">
        <w:rPr>
          <w:rFonts w:cs="Calibri"/>
        </w:rPr>
        <w:t>Inversiones en valores:</w:t>
      </w:r>
    </w:p>
    <w:p w14:paraId="64ECF90A" w14:textId="77777777" w:rsidR="007345EF" w:rsidRPr="005B032F" w:rsidRDefault="007345EF" w:rsidP="007345EF">
      <w:pPr>
        <w:pStyle w:val="Prrafodelista"/>
        <w:tabs>
          <w:tab w:val="left" w:leader="underscore" w:pos="9639"/>
        </w:tabs>
        <w:spacing w:after="0" w:line="240" w:lineRule="auto"/>
        <w:ind w:left="360"/>
        <w:jc w:val="both"/>
        <w:rPr>
          <w:rFonts w:cs="Calibri"/>
        </w:rPr>
      </w:pPr>
    </w:p>
    <w:p w14:paraId="2F075955" w14:textId="0055BAFE" w:rsidR="007D1E76" w:rsidRPr="005B032F" w:rsidRDefault="007D1E76" w:rsidP="00685200">
      <w:pPr>
        <w:tabs>
          <w:tab w:val="left" w:leader="underscore" w:pos="9639"/>
        </w:tabs>
        <w:spacing w:after="0" w:line="240" w:lineRule="auto"/>
        <w:rPr>
          <w:rFonts w:cs="Calibri"/>
        </w:rPr>
      </w:pPr>
    </w:p>
    <w:p w14:paraId="47FAE4D3" w14:textId="4C27EE12" w:rsidR="007D1E76" w:rsidRDefault="00064C12" w:rsidP="00CB41C4">
      <w:pPr>
        <w:tabs>
          <w:tab w:val="left" w:leader="underscore" w:pos="9639"/>
        </w:tabs>
        <w:spacing w:after="0" w:line="240" w:lineRule="auto"/>
        <w:jc w:val="both"/>
        <w:rPr>
          <w:rFonts w:cs="Calibri"/>
        </w:rPr>
      </w:pPr>
      <w:r w:rsidRPr="00064C12">
        <w:rPr>
          <w:noProof/>
        </w:rPr>
        <w:drawing>
          <wp:inline distT="0" distB="0" distL="0" distR="0" wp14:anchorId="6D37F6AD" wp14:editId="4C64A558">
            <wp:extent cx="4069080" cy="1003982"/>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2259" cy="1012168"/>
                    </a:xfrm>
                    <a:prstGeom prst="rect">
                      <a:avLst/>
                    </a:prstGeom>
                    <a:noFill/>
                    <a:ln>
                      <a:noFill/>
                    </a:ln>
                  </pic:spPr>
                </pic:pic>
              </a:graphicData>
            </a:graphic>
          </wp:inline>
        </w:drawing>
      </w:r>
    </w:p>
    <w:p w14:paraId="32E4FEDC" w14:textId="77777777" w:rsidR="00064C12" w:rsidRPr="00E74967" w:rsidRDefault="00064C12"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B3D648B" w14:textId="77777777" w:rsidR="00540A12" w:rsidRPr="007345EF" w:rsidRDefault="00540A12" w:rsidP="00540A12">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261F9A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3B239AE"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75B97C9"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84235533"/>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DAD01C"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86EB710" w14:textId="77777777" w:rsidR="007345EF" w:rsidRPr="007345EF" w:rsidRDefault="007345EF" w:rsidP="007345EF">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AE57259" w14:textId="334AEA7E" w:rsidR="007D1E76" w:rsidRDefault="007D1E76" w:rsidP="00CB41C4">
      <w:pPr>
        <w:tabs>
          <w:tab w:val="left" w:leader="underscore" w:pos="9639"/>
        </w:tabs>
        <w:spacing w:after="0" w:line="240" w:lineRule="auto"/>
        <w:jc w:val="both"/>
        <w:rPr>
          <w:rFonts w:cs="Calibri"/>
        </w:rPr>
      </w:pPr>
    </w:p>
    <w:p w14:paraId="5C129FB7" w14:textId="5186154F" w:rsidR="00AB53F1" w:rsidRDefault="00AB53F1" w:rsidP="00CB41C4">
      <w:pPr>
        <w:tabs>
          <w:tab w:val="left" w:leader="underscore" w:pos="9639"/>
        </w:tabs>
        <w:spacing w:after="0" w:line="240" w:lineRule="auto"/>
        <w:jc w:val="both"/>
        <w:rPr>
          <w:rFonts w:cs="Calibri"/>
        </w:rPr>
      </w:pPr>
    </w:p>
    <w:p w14:paraId="472396C3" w14:textId="012C2F57" w:rsidR="00AB53F1" w:rsidRPr="000C3365" w:rsidRDefault="00AB53F1" w:rsidP="00AB53F1">
      <w:pPr>
        <w:pStyle w:val="Ttulo2"/>
        <w:rPr>
          <w:rFonts w:asciiTheme="minorHAnsi" w:hAnsiTheme="minorHAnsi" w:cstheme="minorHAnsi"/>
          <w:b/>
          <w:color w:val="auto"/>
          <w:sz w:val="22"/>
        </w:rPr>
      </w:pPr>
      <w:r>
        <w:rPr>
          <w:rFonts w:asciiTheme="minorHAnsi" w:hAnsiTheme="minorHAnsi" w:cstheme="minorHAnsi"/>
          <w:b/>
          <w:color w:val="auto"/>
          <w:sz w:val="22"/>
        </w:rPr>
        <w:t>10</w:t>
      </w:r>
      <w:r w:rsidRPr="000C3365">
        <w:rPr>
          <w:rFonts w:asciiTheme="minorHAnsi" w:hAnsiTheme="minorHAnsi" w:cstheme="minorHAnsi"/>
          <w:b/>
          <w:color w:val="auto"/>
          <w:sz w:val="22"/>
        </w:rPr>
        <w:t xml:space="preserve">. </w:t>
      </w:r>
      <w:r>
        <w:rPr>
          <w:rFonts w:asciiTheme="minorHAnsi" w:hAnsiTheme="minorHAnsi" w:cstheme="minorHAnsi"/>
          <w:b/>
          <w:color w:val="auto"/>
          <w:sz w:val="22"/>
        </w:rPr>
        <w:t>Reporte de la Recaudación</w:t>
      </w:r>
      <w:r w:rsidRPr="000C3365">
        <w:rPr>
          <w:rFonts w:asciiTheme="minorHAnsi" w:hAnsiTheme="minorHAnsi" w:cstheme="minorHAnsi"/>
          <w:b/>
          <w:color w:val="auto"/>
          <w:sz w:val="22"/>
        </w:rPr>
        <w:t>:</w:t>
      </w:r>
    </w:p>
    <w:p w14:paraId="3B5B9AA5" w14:textId="77777777" w:rsidR="00AB53F1" w:rsidRPr="00E74967" w:rsidRDefault="00AB53F1" w:rsidP="00AB53F1">
      <w:pPr>
        <w:tabs>
          <w:tab w:val="left" w:leader="underscore" w:pos="9639"/>
        </w:tabs>
        <w:spacing w:after="0" w:line="240" w:lineRule="auto"/>
        <w:jc w:val="both"/>
        <w:rPr>
          <w:rFonts w:cs="Calibri"/>
        </w:rPr>
      </w:pPr>
    </w:p>
    <w:p w14:paraId="444883AF" w14:textId="77777777" w:rsidR="00AB53F1" w:rsidRPr="00E74967" w:rsidRDefault="00AB53F1" w:rsidP="00AB53F1">
      <w:pPr>
        <w:tabs>
          <w:tab w:val="left" w:leader="underscore" w:pos="9639"/>
        </w:tabs>
        <w:spacing w:after="0" w:line="240" w:lineRule="auto"/>
        <w:jc w:val="both"/>
        <w:rPr>
          <w:rFonts w:cs="Calibri"/>
        </w:rPr>
      </w:pPr>
      <w:r w:rsidRPr="00E74967">
        <w:rPr>
          <w:rFonts w:cs="Calibri"/>
        </w:rPr>
        <w:t>Se deberá informar:</w:t>
      </w:r>
    </w:p>
    <w:p w14:paraId="2CF09EF3" w14:textId="77777777" w:rsidR="00AB53F1" w:rsidRPr="00E74967" w:rsidRDefault="00AB53F1" w:rsidP="00AB53F1">
      <w:pPr>
        <w:tabs>
          <w:tab w:val="left" w:leader="underscore" w:pos="9639"/>
        </w:tabs>
        <w:spacing w:after="0" w:line="240" w:lineRule="auto"/>
        <w:jc w:val="both"/>
        <w:rPr>
          <w:rFonts w:cs="Calibri"/>
        </w:rPr>
      </w:pPr>
    </w:p>
    <w:p w14:paraId="7B38EC76" w14:textId="027B6F5B" w:rsidR="00262BD6" w:rsidRPr="00262BD6" w:rsidRDefault="00262BD6" w:rsidP="00262BD6">
      <w:pPr>
        <w:pStyle w:val="Prrafodelista"/>
        <w:numPr>
          <w:ilvl w:val="0"/>
          <w:numId w:val="7"/>
        </w:numPr>
        <w:shd w:val="clear" w:color="auto" w:fill="FFFFFF"/>
        <w:spacing w:after="0" w:line="240" w:lineRule="auto"/>
        <w:rPr>
          <w:rFonts w:eastAsia="Times New Roman" w:cs="Calibri"/>
          <w:color w:val="000000"/>
          <w:sz w:val="24"/>
          <w:szCs w:val="24"/>
          <w:lang w:eastAsia="es-MX"/>
        </w:rPr>
      </w:pPr>
      <w:r w:rsidRPr="00262BD6">
        <w:rPr>
          <w:rFonts w:ascii="Arial" w:eastAsia="Times New Roman" w:hAnsi="Arial" w:cs="Arial"/>
          <w:color w:val="000000"/>
          <w:sz w:val="20"/>
          <w:szCs w:val="20"/>
          <w:lang w:eastAsia="es-MX"/>
        </w:rPr>
        <w:t xml:space="preserve"> Análisis del comportamiento de la recaudación correspondiente al ente público o cualquier tipo de ingreso, de forma separada los ingresos locales de los federales:</w:t>
      </w:r>
    </w:p>
    <w:p w14:paraId="546B9B12" w14:textId="77777777" w:rsidR="00262BD6" w:rsidRPr="00262BD6" w:rsidRDefault="00262BD6" w:rsidP="00262BD6">
      <w:pPr>
        <w:pStyle w:val="Prrafodelista"/>
        <w:shd w:val="clear" w:color="auto" w:fill="FFFFFF"/>
        <w:spacing w:after="0" w:line="240" w:lineRule="auto"/>
        <w:rPr>
          <w:rFonts w:eastAsia="Times New Roman" w:cs="Calibri"/>
          <w:color w:val="000000"/>
          <w:sz w:val="24"/>
          <w:szCs w:val="24"/>
          <w:lang w:eastAsia="es-MX"/>
        </w:rPr>
      </w:pPr>
    </w:p>
    <w:p w14:paraId="3B30C65A" w14:textId="32518476" w:rsidR="004D76FA" w:rsidRDefault="00064C12" w:rsidP="0008586D">
      <w:pPr>
        <w:shd w:val="clear" w:color="auto" w:fill="FFFFFF"/>
        <w:spacing w:after="0" w:line="240" w:lineRule="auto"/>
        <w:rPr>
          <w:rFonts w:ascii="Arial" w:hAnsi="Arial" w:cs="Arial"/>
          <w:color w:val="000000"/>
          <w:sz w:val="20"/>
          <w:szCs w:val="20"/>
          <w:u w:val="single"/>
          <w:shd w:val="clear" w:color="auto" w:fill="FFFFFF"/>
        </w:rPr>
      </w:pPr>
      <w:r>
        <w:rPr>
          <w:rFonts w:ascii="Arial" w:hAnsi="Arial" w:cs="Arial"/>
          <w:color w:val="000000"/>
          <w:sz w:val="20"/>
          <w:szCs w:val="20"/>
          <w:u w:val="single"/>
          <w:shd w:val="clear" w:color="auto" w:fill="FFFFFF"/>
        </w:rPr>
        <w:t>En el mes de</w:t>
      </w:r>
      <w:r>
        <w:rPr>
          <w:rFonts w:ascii="Arial" w:hAnsi="Arial" w:cs="Arial"/>
          <w:b/>
          <w:bCs/>
          <w:color w:val="000000"/>
          <w:sz w:val="20"/>
          <w:szCs w:val="20"/>
          <w:u w:val="single"/>
          <w:shd w:val="clear" w:color="auto" w:fill="FFFFFF"/>
        </w:rPr>
        <w:t> </w:t>
      </w:r>
      <w:proofErr w:type="gramStart"/>
      <w:r>
        <w:rPr>
          <w:rFonts w:ascii="Arial" w:hAnsi="Arial" w:cs="Arial"/>
          <w:b/>
          <w:bCs/>
          <w:color w:val="000000"/>
          <w:sz w:val="20"/>
          <w:szCs w:val="20"/>
          <w:u w:val="single"/>
          <w:shd w:val="clear" w:color="auto" w:fill="FFFFFF"/>
        </w:rPr>
        <w:t>Junio</w:t>
      </w:r>
      <w:proofErr w:type="gramEnd"/>
      <w:r>
        <w:rPr>
          <w:rFonts w:ascii="Arial" w:hAnsi="Arial" w:cs="Arial"/>
          <w:b/>
          <w:bCs/>
          <w:color w:val="000000"/>
          <w:sz w:val="20"/>
          <w:szCs w:val="20"/>
          <w:u w:val="single"/>
          <w:shd w:val="clear" w:color="auto" w:fill="FFFFFF"/>
        </w:rPr>
        <w:t> del 2022</w:t>
      </w:r>
      <w:r>
        <w:rPr>
          <w:rFonts w:ascii="Arial" w:hAnsi="Arial" w:cs="Arial"/>
          <w:color w:val="000000"/>
          <w:sz w:val="20"/>
          <w:szCs w:val="20"/>
          <w:u w:val="single"/>
          <w:shd w:val="clear" w:color="auto" w:fill="FFFFFF"/>
        </w:rPr>
        <w:t> se obtuvo una recaudación acumulada de </w:t>
      </w:r>
      <w:r>
        <w:rPr>
          <w:rFonts w:ascii="Arial" w:hAnsi="Arial" w:cs="Arial"/>
          <w:b/>
          <w:bCs/>
          <w:color w:val="000000"/>
          <w:sz w:val="20"/>
          <w:szCs w:val="20"/>
          <w:u w:val="single"/>
          <w:shd w:val="clear" w:color="auto" w:fill="FFFFFF"/>
        </w:rPr>
        <w:t>$195,628,456.97 </w:t>
      </w:r>
      <w:r>
        <w:rPr>
          <w:rFonts w:ascii="Arial" w:hAnsi="Arial" w:cs="Arial"/>
          <w:color w:val="000000"/>
          <w:sz w:val="20"/>
          <w:szCs w:val="20"/>
          <w:u w:val="single"/>
          <w:shd w:val="clear" w:color="auto" w:fill="FFFFFF"/>
        </w:rPr>
        <w:t>(101.06</w:t>
      </w:r>
      <w:r>
        <w:rPr>
          <w:rFonts w:ascii="Arial" w:hAnsi="Arial" w:cs="Arial"/>
          <w:b/>
          <w:bCs/>
          <w:color w:val="000000"/>
          <w:sz w:val="20"/>
          <w:szCs w:val="20"/>
          <w:u w:val="single"/>
          <w:shd w:val="clear" w:color="auto" w:fill="FFFFFF"/>
        </w:rPr>
        <w:t>%</w:t>
      </w:r>
      <w:r>
        <w:rPr>
          <w:rFonts w:ascii="Arial" w:hAnsi="Arial" w:cs="Arial"/>
          <w:color w:val="000000"/>
          <w:sz w:val="20"/>
          <w:szCs w:val="20"/>
          <w:u w:val="single"/>
          <w:shd w:val="clear" w:color="auto" w:fill="FFFFFF"/>
        </w:rPr>
        <w:t> de lo presupuestado) por el cobro de los servicios de agua potable, alcantarillado y saneamiento correspondiente al mes de referencia.</w:t>
      </w:r>
    </w:p>
    <w:p w14:paraId="7C537882" w14:textId="77777777" w:rsidR="00064C12" w:rsidRPr="0008586D" w:rsidRDefault="00064C12" w:rsidP="0008586D">
      <w:pPr>
        <w:shd w:val="clear" w:color="auto" w:fill="FFFFFF"/>
        <w:spacing w:after="0" w:line="240" w:lineRule="auto"/>
        <w:rPr>
          <w:rFonts w:eastAsia="Times New Roman" w:cs="Calibri"/>
          <w:color w:val="000000"/>
          <w:sz w:val="24"/>
          <w:szCs w:val="24"/>
          <w:lang w:eastAsia="es-MX"/>
        </w:rPr>
      </w:pPr>
    </w:p>
    <w:p w14:paraId="2C868AB2" w14:textId="0C9AAE27" w:rsidR="0008586D" w:rsidRPr="00262BD6" w:rsidRDefault="0008586D" w:rsidP="00262BD6">
      <w:pPr>
        <w:pStyle w:val="Prrafodelista"/>
        <w:numPr>
          <w:ilvl w:val="0"/>
          <w:numId w:val="7"/>
        </w:numPr>
        <w:shd w:val="clear" w:color="auto" w:fill="FFFFFF"/>
        <w:spacing w:after="0" w:line="240" w:lineRule="auto"/>
        <w:rPr>
          <w:rFonts w:eastAsia="Times New Roman" w:cs="Calibri"/>
          <w:color w:val="000000"/>
          <w:sz w:val="24"/>
          <w:szCs w:val="24"/>
          <w:lang w:eastAsia="es-MX"/>
        </w:rPr>
      </w:pPr>
      <w:r w:rsidRPr="00262BD6">
        <w:rPr>
          <w:rFonts w:ascii="Arial" w:eastAsia="Times New Roman" w:hAnsi="Arial" w:cs="Arial"/>
          <w:color w:val="000000"/>
          <w:sz w:val="20"/>
          <w:szCs w:val="20"/>
          <w:lang w:eastAsia="es-MX"/>
        </w:rPr>
        <w:t>Proyección de la recaudación e ingresos en el mediano plazo:</w:t>
      </w:r>
    </w:p>
    <w:p w14:paraId="7FD18BCF" w14:textId="77777777" w:rsidR="0008586D" w:rsidRPr="0008586D" w:rsidRDefault="0008586D" w:rsidP="0008586D">
      <w:pPr>
        <w:pStyle w:val="Prrafodelista"/>
        <w:shd w:val="clear" w:color="auto" w:fill="FFFFFF"/>
        <w:spacing w:after="0" w:line="240" w:lineRule="auto"/>
        <w:rPr>
          <w:rFonts w:eastAsia="Times New Roman" w:cs="Calibri"/>
          <w:color w:val="000000"/>
          <w:sz w:val="24"/>
          <w:szCs w:val="24"/>
          <w:lang w:eastAsia="es-MX"/>
        </w:rPr>
      </w:pPr>
    </w:p>
    <w:p w14:paraId="4B175F2D" w14:textId="77777777" w:rsidR="00064C12" w:rsidRPr="00064C12" w:rsidRDefault="00064C12" w:rsidP="00064C12">
      <w:pPr>
        <w:spacing w:after="0" w:line="240" w:lineRule="auto"/>
        <w:rPr>
          <w:rFonts w:eastAsia="Times New Roman" w:cs="Calibri"/>
          <w:sz w:val="24"/>
          <w:szCs w:val="24"/>
          <w:lang w:eastAsia="es-MX"/>
        </w:rPr>
      </w:pPr>
      <w:bookmarkStart w:id="9" w:name="_Toc84235534"/>
      <w:r w:rsidRPr="00064C12">
        <w:rPr>
          <w:rFonts w:ascii="Arial" w:eastAsia="Times New Roman" w:hAnsi="Arial" w:cs="Arial"/>
          <w:sz w:val="20"/>
          <w:szCs w:val="20"/>
          <w:u w:val="single"/>
          <w:lang w:eastAsia="es-MX"/>
        </w:rPr>
        <w:t>Se proyecta recaudar un total de</w:t>
      </w:r>
      <w:r w:rsidRPr="00064C12">
        <w:rPr>
          <w:rFonts w:ascii="Arial" w:eastAsia="Times New Roman" w:hAnsi="Arial" w:cs="Arial"/>
          <w:b/>
          <w:bCs/>
          <w:sz w:val="20"/>
          <w:szCs w:val="20"/>
          <w:u w:val="single"/>
          <w:lang w:eastAsia="es-MX"/>
        </w:rPr>
        <w:t> $630,144,400.95</w:t>
      </w:r>
      <w:r w:rsidRPr="00064C12">
        <w:rPr>
          <w:rFonts w:ascii="Arial" w:eastAsia="Times New Roman" w:hAnsi="Arial" w:cs="Arial"/>
          <w:sz w:val="20"/>
          <w:szCs w:val="20"/>
          <w:u w:val="single"/>
          <w:lang w:eastAsia="es-MX"/>
        </w:rPr>
        <w:t>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proofErr w:type="gramStart"/>
      <w:r w:rsidRPr="00064C12">
        <w:rPr>
          <w:rFonts w:ascii="Arial" w:eastAsia="Times New Roman" w:hAnsi="Arial" w:cs="Arial"/>
          <w:b/>
          <w:bCs/>
          <w:sz w:val="20"/>
          <w:szCs w:val="20"/>
          <w:u w:val="single"/>
          <w:lang w:eastAsia="es-MX"/>
        </w:rPr>
        <w:t>Junio</w:t>
      </w:r>
      <w:proofErr w:type="gramEnd"/>
      <w:r w:rsidRPr="00064C12">
        <w:rPr>
          <w:rFonts w:ascii="Arial" w:eastAsia="Times New Roman" w:hAnsi="Arial" w:cs="Arial"/>
          <w:b/>
          <w:bCs/>
          <w:sz w:val="20"/>
          <w:szCs w:val="20"/>
          <w:u w:val="single"/>
          <w:lang w:eastAsia="es-MX"/>
        </w:rPr>
        <w:t> del 2022</w:t>
      </w:r>
      <w:r w:rsidRPr="00064C12">
        <w:rPr>
          <w:rFonts w:ascii="Arial" w:eastAsia="Times New Roman" w:hAnsi="Arial" w:cs="Arial"/>
          <w:sz w:val="20"/>
          <w:szCs w:val="20"/>
          <w:u w:val="single"/>
          <w:lang w:eastAsia="es-MX"/>
        </w:rPr>
        <w:t>, se logró recaudar un total de </w:t>
      </w:r>
      <w:r w:rsidRPr="00064C12">
        <w:rPr>
          <w:rFonts w:ascii="Arial" w:eastAsia="Times New Roman" w:hAnsi="Arial" w:cs="Arial"/>
          <w:b/>
          <w:bCs/>
          <w:sz w:val="20"/>
          <w:szCs w:val="20"/>
          <w:u w:val="single"/>
          <w:lang w:eastAsia="es-MX"/>
        </w:rPr>
        <w:t>$398,666,300.45 </w:t>
      </w:r>
      <w:r w:rsidRPr="00064C12">
        <w:rPr>
          <w:rFonts w:ascii="Arial" w:eastAsia="Times New Roman" w:hAnsi="Arial" w:cs="Arial"/>
          <w:sz w:val="20"/>
          <w:szCs w:val="20"/>
          <w:u w:val="single"/>
          <w:lang w:val="es-ES" w:eastAsia="es-MX"/>
        </w:rPr>
        <w:t>Lo anterior representa un 63.27</w:t>
      </w:r>
      <w:r w:rsidRPr="00064C12">
        <w:rPr>
          <w:rFonts w:ascii="Arial" w:eastAsia="Times New Roman" w:hAnsi="Arial" w:cs="Arial"/>
          <w:b/>
          <w:bCs/>
          <w:sz w:val="20"/>
          <w:szCs w:val="20"/>
          <w:u w:val="single"/>
          <w:lang w:val="es-ES" w:eastAsia="es-MX"/>
        </w:rPr>
        <w:t>%</w:t>
      </w:r>
      <w:r w:rsidRPr="00064C12">
        <w:rPr>
          <w:rFonts w:ascii="Arial" w:eastAsia="Times New Roman" w:hAnsi="Arial" w:cs="Arial"/>
          <w:sz w:val="20"/>
          <w:szCs w:val="20"/>
          <w:u w:val="single"/>
          <w:lang w:val="es-ES" w:eastAsia="es-MX"/>
        </w:rPr>
        <w:t> del total presupuestado.</w:t>
      </w:r>
    </w:p>
    <w:p w14:paraId="7D8941AF" w14:textId="77777777" w:rsidR="004D76FA" w:rsidRPr="004D76FA" w:rsidRDefault="004D76FA" w:rsidP="004D76FA">
      <w:pPr>
        <w:rPr>
          <w:lang w:val="es-ES"/>
        </w:rPr>
      </w:pPr>
    </w:p>
    <w:p w14:paraId="2D68C3FC" w14:textId="70A9D2C8"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BD68A3C"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0" w:name="_Toc84235535"/>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988A38A" w14:textId="77777777" w:rsidR="002E71E7" w:rsidRPr="007345EF" w:rsidRDefault="002E71E7" w:rsidP="002E71E7">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1" w:name="_Toc84235536"/>
      <w:r w:rsidRPr="000C3365">
        <w:rPr>
          <w:rFonts w:asciiTheme="minorHAnsi" w:hAnsiTheme="minorHAnsi" w:cstheme="minorHAnsi"/>
          <w:b/>
          <w:color w:val="auto"/>
          <w:sz w:val="22"/>
        </w:rPr>
        <w:t>13.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3DB7590" w14:textId="2F5C6525" w:rsidR="002E71E7" w:rsidRPr="008B7666" w:rsidRDefault="002E71E7" w:rsidP="002E71E7">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t>Lineamientos de Austeridad, Racionalidad y Disciplina Presupuestal para el Ejercicio 202</w:t>
      </w:r>
      <w:r w:rsidR="004D76FA">
        <w:rPr>
          <w:rFonts w:ascii="Arial" w:eastAsia="Times New Roman" w:hAnsi="Arial" w:cs="Arial"/>
          <w:color w:val="212121"/>
          <w:sz w:val="20"/>
          <w:szCs w:val="20"/>
          <w:u w:val="single"/>
          <w:shd w:val="clear" w:color="auto" w:fill="FFFFFF"/>
          <w:lang w:eastAsia="es-MX"/>
        </w:rPr>
        <w:t>2</w:t>
      </w:r>
      <w:r w:rsidRPr="008B7666">
        <w:rPr>
          <w:rFonts w:ascii="Arial" w:eastAsia="Times New Roman" w:hAnsi="Arial" w:cs="Arial"/>
          <w:color w:val="212121"/>
          <w:sz w:val="20"/>
          <w:szCs w:val="20"/>
          <w:u w:val="single"/>
          <w:shd w:val="clear" w:color="auto" w:fill="FFFFFF"/>
          <w:lang w:eastAsia="es-MX"/>
        </w:rPr>
        <w:t xml:space="preserve">, 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C1F06D0" w14:textId="649E80D9" w:rsidR="00D74717" w:rsidRPr="002E7EB3" w:rsidRDefault="00D74717" w:rsidP="00D74717">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w:t>
      </w:r>
      <w:r w:rsidR="004D76FA">
        <w:rPr>
          <w:rFonts w:cs="Calibri"/>
          <w:u w:val="single"/>
        </w:rPr>
        <w:t>2</w:t>
      </w:r>
      <w:r>
        <w:rPr>
          <w:rFonts w:cs="Calibri"/>
          <w:u w:val="single"/>
        </w:rPr>
        <w:t>0</w:t>
      </w:r>
      <w:r w:rsidR="004D76FA">
        <w:rPr>
          <w:rFonts w:cs="Calibri"/>
          <w:u w:val="single"/>
        </w:rPr>
        <w:t>1</w:t>
      </w:r>
      <w:r w:rsidRPr="00DC0164">
        <w:rPr>
          <w:rFonts w:cs="Calibri"/>
          <w:u w:val="single"/>
        </w:rPr>
        <w:t>- Indicadores de Resultados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84235537"/>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7889D31" w14:textId="77777777" w:rsidR="00D74717" w:rsidRDefault="00D74717" w:rsidP="002E71E7">
      <w:pPr>
        <w:tabs>
          <w:tab w:val="left" w:leader="underscore" w:pos="9639"/>
        </w:tabs>
        <w:spacing w:after="0" w:line="240" w:lineRule="auto"/>
        <w:jc w:val="both"/>
        <w:rPr>
          <w:rFonts w:asciiTheme="minorHAnsi" w:hAnsiTheme="minorHAnsi" w:cstheme="minorHAnsi"/>
          <w:sz w:val="24"/>
          <w:szCs w:val="24"/>
          <w:u w:val="single"/>
        </w:rPr>
      </w:pPr>
    </w:p>
    <w:p w14:paraId="5BBC0141"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84235538"/>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19831C0A" w14:textId="77777777" w:rsidR="00D74717" w:rsidRDefault="007D1E76" w:rsidP="002E71E7">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6891199" w14:textId="77777777" w:rsidR="008B7666" w:rsidRPr="007345EF" w:rsidRDefault="008B7666" w:rsidP="008B7666">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lastRenderedPageBreak/>
        <w:t>“Esta nota no le aplica al ente público” no realizamos movimientos que los afecten.</w:t>
      </w:r>
    </w:p>
    <w:p w14:paraId="1C1B13BA" w14:textId="5944962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84235539"/>
      <w:r w:rsidRPr="000C3365">
        <w:rPr>
          <w:rFonts w:asciiTheme="minorHAnsi" w:hAnsiTheme="minorHAnsi" w:cstheme="minorHAnsi"/>
          <w:b/>
          <w:color w:val="auto"/>
          <w:sz w:val="22"/>
        </w:rPr>
        <w:t>16.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9C1AB6A" w14:textId="77777777" w:rsidR="002E71E7" w:rsidRPr="008B7666" w:rsidRDefault="002E71E7" w:rsidP="002E71E7">
      <w:pPr>
        <w:tabs>
          <w:tab w:val="left" w:leader="underscore" w:pos="9639"/>
        </w:tabs>
        <w:spacing w:after="0" w:line="240" w:lineRule="auto"/>
        <w:jc w:val="both"/>
        <w:rPr>
          <w:rFonts w:cs="Calibri"/>
          <w:u w:val="single"/>
        </w:rPr>
      </w:pPr>
      <w:r w:rsidRPr="008B7666">
        <w:rPr>
          <w:rFonts w:cs="Calibri"/>
          <w:u w:val="single"/>
        </w:rPr>
        <w:t>“Esta nota no le aplica al ente público” no realizamos movimientos que los afecten.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84235540"/>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3750581" w:rsidR="00D5018E" w:rsidRDefault="00D5018E" w:rsidP="00CB41C4">
      <w:pPr>
        <w:tabs>
          <w:tab w:val="left" w:leader="underscore" w:pos="9639"/>
        </w:tabs>
        <w:spacing w:after="0" w:line="240" w:lineRule="auto"/>
        <w:jc w:val="both"/>
        <w:rPr>
          <w:rFonts w:cs="Calibri"/>
        </w:rPr>
      </w:pPr>
    </w:p>
    <w:p w14:paraId="1B61076C" w14:textId="1A5EF655" w:rsidR="008B7666" w:rsidRDefault="008B7666" w:rsidP="00CB41C4">
      <w:pPr>
        <w:tabs>
          <w:tab w:val="left" w:leader="underscore" w:pos="9639"/>
        </w:tabs>
        <w:spacing w:after="0" w:line="240" w:lineRule="auto"/>
        <w:jc w:val="both"/>
        <w:rPr>
          <w:rFonts w:cs="Calibri"/>
        </w:rPr>
      </w:pPr>
    </w:p>
    <w:p w14:paraId="1B65CFF1" w14:textId="1EE9E49B" w:rsidR="008B7666" w:rsidRPr="00E74967" w:rsidRDefault="008B7666" w:rsidP="00CB41C4">
      <w:pPr>
        <w:tabs>
          <w:tab w:val="left" w:leader="underscore" w:pos="9639"/>
        </w:tabs>
        <w:spacing w:after="0" w:line="240" w:lineRule="auto"/>
        <w:jc w:val="both"/>
        <w:rPr>
          <w:rFonts w:cs="Calibri"/>
        </w:rPr>
      </w:pPr>
    </w:p>
    <w:sectPr w:rsidR="008B7666"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A637" w14:textId="77777777" w:rsidR="009E5244" w:rsidRDefault="009E5244" w:rsidP="00E00323">
      <w:pPr>
        <w:spacing w:after="0" w:line="240" w:lineRule="auto"/>
      </w:pPr>
      <w:r>
        <w:separator/>
      </w:r>
    </w:p>
  </w:endnote>
  <w:endnote w:type="continuationSeparator" w:id="0">
    <w:p w14:paraId="28F77B98" w14:textId="77777777" w:rsidR="009E5244" w:rsidRDefault="009E524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1CC4E203" w:rsidR="0012405A" w:rsidRDefault="0012405A">
        <w:pPr>
          <w:pStyle w:val="Piedepgina"/>
          <w:jc w:val="right"/>
        </w:pPr>
        <w:r>
          <w:fldChar w:fldCharType="begin"/>
        </w:r>
        <w:r>
          <w:instrText>PAGE   \* MERGEFORMAT</w:instrText>
        </w:r>
        <w:r>
          <w:fldChar w:fldCharType="separate"/>
        </w:r>
        <w:r w:rsidR="00B20E59" w:rsidRPr="00B20E5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63CE" w14:textId="77777777" w:rsidR="009E5244" w:rsidRDefault="009E5244" w:rsidP="00E00323">
      <w:pPr>
        <w:spacing w:after="0" w:line="240" w:lineRule="auto"/>
      </w:pPr>
      <w:r>
        <w:separator/>
      </w:r>
    </w:p>
  </w:footnote>
  <w:footnote w:type="continuationSeparator" w:id="0">
    <w:p w14:paraId="66549905" w14:textId="77777777" w:rsidR="009E5244" w:rsidRDefault="009E524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AF9A2F9" w:rsidR="00154BA3" w:rsidRDefault="008B7666" w:rsidP="00A4610E">
    <w:pPr>
      <w:pStyle w:val="Encabezado"/>
      <w:spacing w:after="0" w:line="240" w:lineRule="auto"/>
      <w:jc w:val="center"/>
    </w:pPr>
    <w:r>
      <w:t xml:space="preserve">   </w:t>
    </w:r>
    <w:r w:rsidR="00F673BA">
      <w:t xml:space="preserve">Junta Municipal de Agua Potable y Alcantarillado de Celaya, </w:t>
    </w:r>
    <w:proofErr w:type="spellStart"/>
    <w:r w:rsidR="00F673BA">
      <w:t>Gto</w:t>
    </w:r>
    <w:proofErr w:type="spellEnd"/>
    <w:r w:rsidR="00F673BA">
      <w:t>.</w:t>
    </w:r>
  </w:p>
  <w:p w14:paraId="651A4C4F" w14:textId="7910BC4B" w:rsidR="00A4610E" w:rsidRDefault="00A4610E" w:rsidP="00B20E59">
    <w:pPr>
      <w:pStyle w:val="Encabezado"/>
      <w:spacing w:after="0" w:line="240" w:lineRule="auto"/>
      <w:jc w:val="center"/>
    </w:pPr>
    <w:r w:rsidRPr="00A4610E">
      <w:t>C</w:t>
    </w:r>
    <w:r w:rsidR="00F46A6F">
      <w:t>orrespondientes</w:t>
    </w:r>
    <w:r w:rsidRPr="00A4610E">
      <w:t xml:space="preserve"> </w:t>
    </w:r>
    <w:r w:rsidR="00F46A6F">
      <w:t>al</w:t>
    </w:r>
    <w:r w:rsidRPr="00A4610E">
      <w:t xml:space="preserve"> </w:t>
    </w:r>
    <w:r w:rsidR="00A12425" w:rsidRPr="00A12425">
      <w:t>3</w:t>
    </w:r>
    <w:r w:rsidR="008D3701">
      <w:t>0</w:t>
    </w:r>
    <w:r w:rsidR="00A12425" w:rsidRPr="00A12425">
      <w:t xml:space="preserve"> de </w:t>
    </w:r>
    <w:r w:rsidR="008D3701">
      <w:t>juni</w:t>
    </w:r>
    <w:r w:rsidR="00DD0452">
      <w:t>o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03"/>
    <w:multiLevelType w:val="hybridMultilevel"/>
    <w:tmpl w:val="69043AB6"/>
    <w:lvl w:ilvl="0" w:tplc="D6F04DBA">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B64BB3"/>
    <w:multiLevelType w:val="hybridMultilevel"/>
    <w:tmpl w:val="99CEE10C"/>
    <w:lvl w:ilvl="0" w:tplc="0CA2E27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8FA3ADB"/>
    <w:multiLevelType w:val="hybridMultilevel"/>
    <w:tmpl w:val="79042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56664E"/>
    <w:multiLevelType w:val="hybridMultilevel"/>
    <w:tmpl w:val="EB36F5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3F4E47"/>
    <w:multiLevelType w:val="hybridMultilevel"/>
    <w:tmpl w:val="2B5A7610"/>
    <w:lvl w:ilvl="0" w:tplc="51989680">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4446C0"/>
    <w:multiLevelType w:val="hybridMultilevel"/>
    <w:tmpl w:val="B628AE9E"/>
    <w:lvl w:ilvl="0" w:tplc="A8380FAE">
      <w:start w:val="1"/>
      <w:numFmt w:val="lowerLetter"/>
      <w:lvlText w:val="%1)"/>
      <w:lvlJc w:val="left"/>
      <w:pPr>
        <w:ind w:left="720" w:hanging="36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9617627">
    <w:abstractNumId w:val="6"/>
  </w:num>
  <w:num w:numId="2" w16cid:durableId="2109617800">
    <w:abstractNumId w:val="1"/>
  </w:num>
  <w:num w:numId="3" w16cid:durableId="897013983">
    <w:abstractNumId w:val="3"/>
  </w:num>
  <w:num w:numId="4" w16cid:durableId="1160465108">
    <w:abstractNumId w:val="5"/>
  </w:num>
  <w:num w:numId="5" w16cid:durableId="1203590956">
    <w:abstractNumId w:val="2"/>
  </w:num>
  <w:num w:numId="6" w16cid:durableId="1118717227">
    <w:abstractNumId w:val="4"/>
  </w:num>
  <w:num w:numId="7" w16cid:durableId="46473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4C12"/>
    <w:rsid w:val="00084EAE"/>
    <w:rsid w:val="0008586D"/>
    <w:rsid w:val="00091CE6"/>
    <w:rsid w:val="000B7810"/>
    <w:rsid w:val="000C3365"/>
    <w:rsid w:val="0012405A"/>
    <w:rsid w:val="00154BA3"/>
    <w:rsid w:val="0017525F"/>
    <w:rsid w:val="001973A2"/>
    <w:rsid w:val="001C75F2"/>
    <w:rsid w:val="001D2063"/>
    <w:rsid w:val="001D43E9"/>
    <w:rsid w:val="00232175"/>
    <w:rsid w:val="002558CF"/>
    <w:rsid w:val="00262BD6"/>
    <w:rsid w:val="002E71E7"/>
    <w:rsid w:val="003453CA"/>
    <w:rsid w:val="00435A87"/>
    <w:rsid w:val="00490569"/>
    <w:rsid w:val="004A5298"/>
    <w:rsid w:val="004A58C8"/>
    <w:rsid w:val="004D76FA"/>
    <w:rsid w:val="004F234D"/>
    <w:rsid w:val="00540A12"/>
    <w:rsid w:val="0054701E"/>
    <w:rsid w:val="005B032F"/>
    <w:rsid w:val="005B5531"/>
    <w:rsid w:val="005D3E43"/>
    <w:rsid w:val="005D6A85"/>
    <w:rsid w:val="005E231E"/>
    <w:rsid w:val="00601F21"/>
    <w:rsid w:val="00657009"/>
    <w:rsid w:val="00681C79"/>
    <w:rsid w:val="00685200"/>
    <w:rsid w:val="00715297"/>
    <w:rsid w:val="007345EF"/>
    <w:rsid w:val="0074332C"/>
    <w:rsid w:val="00743B90"/>
    <w:rsid w:val="007610BC"/>
    <w:rsid w:val="007714AB"/>
    <w:rsid w:val="007D1E76"/>
    <w:rsid w:val="007D4484"/>
    <w:rsid w:val="007F793C"/>
    <w:rsid w:val="008412A5"/>
    <w:rsid w:val="00863C7E"/>
    <w:rsid w:val="0086459F"/>
    <w:rsid w:val="00886E46"/>
    <w:rsid w:val="008B7666"/>
    <w:rsid w:val="008C3BB8"/>
    <w:rsid w:val="008D3701"/>
    <w:rsid w:val="008E076C"/>
    <w:rsid w:val="0092765C"/>
    <w:rsid w:val="009C4DF5"/>
    <w:rsid w:val="009E5244"/>
    <w:rsid w:val="00A12425"/>
    <w:rsid w:val="00A4610E"/>
    <w:rsid w:val="00A730E0"/>
    <w:rsid w:val="00AA41E5"/>
    <w:rsid w:val="00AA5A50"/>
    <w:rsid w:val="00AB53F1"/>
    <w:rsid w:val="00AB722B"/>
    <w:rsid w:val="00AE1F6A"/>
    <w:rsid w:val="00AE6A00"/>
    <w:rsid w:val="00B20E59"/>
    <w:rsid w:val="00BE4763"/>
    <w:rsid w:val="00C97E1E"/>
    <w:rsid w:val="00CB41C4"/>
    <w:rsid w:val="00CF1316"/>
    <w:rsid w:val="00D13C44"/>
    <w:rsid w:val="00D40FC2"/>
    <w:rsid w:val="00D5018E"/>
    <w:rsid w:val="00D74717"/>
    <w:rsid w:val="00D975B1"/>
    <w:rsid w:val="00DA7292"/>
    <w:rsid w:val="00DB4D78"/>
    <w:rsid w:val="00DD0452"/>
    <w:rsid w:val="00DE39AD"/>
    <w:rsid w:val="00E00323"/>
    <w:rsid w:val="00E02C39"/>
    <w:rsid w:val="00E71ED4"/>
    <w:rsid w:val="00E74967"/>
    <w:rsid w:val="00E7559F"/>
    <w:rsid w:val="00EA37F5"/>
    <w:rsid w:val="00EA53AD"/>
    <w:rsid w:val="00EA7915"/>
    <w:rsid w:val="00F46719"/>
    <w:rsid w:val="00F46A6F"/>
    <w:rsid w:val="00F54F6F"/>
    <w:rsid w:val="00F6102D"/>
    <w:rsid w:val="00F65A92"/>
    <w:rsid w:val="00F673BA"/>
    <w:rsid w:val="00F73BB2"/>
    <w:rsid w:val="00FF7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Mencinsinresolver1">
    <w:name w:val="Mención sin resolver1"/>
    <w:basedOn w:val="Fuentedeprrafopredeter"/>
    <w:uiPriority w:val="99"/>
    <w:semiHidden/>
    <w:unhideWhenUsed/>
    <w:rsid w:val="00F46A6F"/>
    <w:rPr>
      <w:color w:val="605E5C"/>
      <w:shd w:val="clear" w:color="auto" w:fill="E1DFDD"/>
    </w:rPr>
  </w:style>
  <w:style w:type="character" w:styleId="Mencinsinresolver">
    <w:name w:val="Unresolved Mention"/>
    <w:basedOn w:val="Fuentedeprrafopredeter"/>
    <w:uiPriority w:val="99"/>
    <w:semiHidden/>
    <w:unhideWhenUsed/>
    <w:rsid w:val="00DD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541">
      <w:bodyDiv w:val="1"/>
      <w:marLeft w:val="0"/>
      <w:marRight w:val="0"/>
      <w:marTop w:val="0"/>
      <w:marBottom w:val="0"/>
      <w:divBdr>
        <w:top w:val="none" w:sz="0" w:space="0" w:color="auto"/>
        <w:left w:val="none" w:sz="0" w:space="0" w:color="auto"/>
        <w:bottom w:val="none" w:sz="0" w:space="0" w:color="auto"/>
        <w:right w:val="none" w:sz="0" w:space="0" w:color="auto"/>
      </w:divBdr>
      <w:divsChild>
        <w:div w:id="946085089">
          <w:marLeft w:val="0"/>
          <w:marRight w:val="0"/>
          <w:marTop w:val="0"/>
          <w:marBottom w:val="0"/>
          <w:divBdr>
            <w:top w:val="none" w:sz="0" w:space="0" w:color="auto"/>
            <w:left w:val="none" w:sz="0" w:space="0" w:color="auto"/>
            <w:bottom w:val="none" w:sz="0" w:space="0" w:color="auto"/>
            <w:right w:val="none" w:sz="0" w:space="0" w:color="auto"/>
          </w:divBdr>
        </w:div>
        <w:div w:id="2102947552">
          <w:marLeft w:val="0"/>
          <w:marRight w:val="0"/>
          <w:marTop w:val="0"/>
          <w:marBottom w:val="0"/>
          <w:divBdr>
            <w:top w:val="none" w:sz="0" w:space="0" w:color="auto"/>
            <w:left w:val="none" w:sz="0" w:space="0" w:color="auto"/>
            <w:bottom w:val="none" w:sz="0" w:space="0" w:color="auto"/>
            <w:right w:val="none" w:sz="0" w:space="0" w:color="auto"/>
          </w:divBdr>
        </w:div>
        <w:div w:id="872351919">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447969539">
          <w:marLeft w:val="0"/>
          <w:marRight w:val="0"/>
          <w:marTop w:val="0"/>
          <w:marBottom w:val="0"/>
          <w:divBdr>
            <w:top w:val="none" w:sz="0" w:space="0" w:color="auto"/>
            <w:left w:val="none" w:sz="0" w:space="0" w:color="auto"/>
            <w:bottom w:val="none" w:sz="0" w:space="0" w:color="auto"/>
            <w:right w:val="none" w:sz="0" w:space="0" w:color="auto"/>
          </w:divBdr>
        </w:div>
      </w:divsChild>
    </w:div>
    <w:div w:id="840002708">
      <w:bodyDiv w:val="1"/>
      <w:marLeft w:val="0"/>
      <w:marRight w:val="0"/>
      <w:marTop w:val="0"/>
      <w:marBottom w:val="0"/>
      <w:divBdr>
        <w:top w:val="none" w:sz="0" w:space="0" w:color="auto"/>
        <w:left w:val="none" w:sz="0" w:space="0" w:color="auto"/>
        <w:bottom w:val="none" w:sz="0" w:space="0" w:color="auto"/>
        <w:right w:val="none" w:sz="0" w:space="0" w:color="auto"/>
      </w:divBdr>
    </w:div>
    <w:div w:id="1054505494">
      <w:bodyDiv w:val="1"/>
      <w:marLeft w:val="0"/>
      <w:marRight w:val="0"/>
      <w:marTop w:val="0"/>
      <w:marBottom w:val="0"/>
      <w:divBdr>
        <w:top w:val="none" w:sz="0" w:space="0" w:color="auto"/>
        <w:left w:val="none" w:sz="0" w:space="0" w:color="auto"/>
        <w:bottom w:val="none" w:sz="0" w:space="0" w:color="auto"/>
        <w:right w:val="none" w:sz="0" w:space="0" w:color="auto"/>
      </w:divBdr>
    </w:div>
    <w:div w:id="1177767965">
      <w:bodyDiv w:val="1"/>
      <w:marLeft w:val="0"/>
      <w:marRight w:val="0"/>
      <w:marTop w:val="0"/>
      <w:marBottom w:val="0"/>
      <w:divBdr>
        <w:top w:val="none" w:sz="0" w:space="0" w:color="auto"/>
        <w:left w:val="none" w:sz="0" w:space="0" w:color="auto"/>
        <w:bottom w:val="none" w:sz="0" w:space="0" w:color="auto"/>
        <w:right w:val="none" w:sz="0" w:space="0" w:color="auto"/>
      </w:divBdr>
    </w:div>
    <w:div w:id="1238437152">
      <w:bodyDiv w:val="1"/>
      <w:marLeft w:val="0"/>
      <w:marRight w:val="0"/>
      <w:marTop w:val="0"/>
      <w:marBottom w:val="0"/>
      <w:divBdr>
        <w:top w:val="none" w:sz="0" w:space="0" w:color="auto"/>
        <w:left w:val="none" w:sz="0" w:space="0" w:color="auto"/>
        <w:bottom w:val="none" w:sz="0" w:space="0" w:color="auto"/>
        <w:right w:val="none" w:sz="0" w:space="0" w:color="auto"/>
      </w:divBdr>
      <w:divsChild>
        <w:div w:id="264962055">
          <w:marLeft w:val="0"/>
          <w:marRight w:val="0"/>
          <w:marTop w:val="0"/>
          <w:marBottom w:val="0"/>
          <w:divBdr>
            <w:top w:val="none" w:sz="0" w:space="0" w:color="auto"/>
            <w:left w:val="none" w:sz="0" w:space="0" w:color="auto"/>
            <w:bottom w:val="none" w:sz="0" w:space="0" w:color="auto"/>
            <w:right w:val="none" w:sz="0" w:space="0" w:color="auto"/>
          </w:divBdr>
        </w:div>
        <w:div w:id="129444085">
          <w:marLeft w:val="0"/>
          <w:marRight w:val="0"/>
          <w:marTop w:val="0"/>
          <w:marBottom w:val="0"/>
          <w:divBdr>
            <w:top w:val="none" w:sz="0" w:space="0" w:color="auto"/>
            <w:left w:val="none" w:sz="0" w:space="0" w:color="auto"/>
            <w:bottom w:val="none" w:sz="0" w:space="0" w:color="auto"/>
            <w:right w:val="none" w:sz="0" w:space="0" w:color="auto"/>
          </w:divBdr>
        </w:div>
      </w:divsChild>
    </w:div>
    <w:div w:id="1282497819">
      <w:bodyDiv w:val="1"/>
      <w:marLeft w:val="0"/>
      <w:marRight w:val="0"/>
      <w:marTop w:val="0"/>
      <w:marBottom w:val="0"/>
      <w:divBdr>
        <w:top w:val="none" w:sz="0" w:space="0" w:color="auto"/>
        <w:left w:val="none" w:sz="0" w:space="0" w:color="auto"/>
        <w:bottom w:val="none" w:sz="0" w:space="0" w:color="auto"/>
        <w:right w:val="none" w:sz="0" w:space="0" w:color="auto"/>
      </w:divBdr>
      <w:divsChild>
        <w:div w:id="241068745">
          <w:marLeft w:val="0"/>
          <w:marRight w:val="0"/>
          <w:marTop w:val="0"/>
          <w:marBottom w:val="0"/>
          <w:divBdr>
            <w:top w:val="none" w:sz="0" w:space="0" w:color="auto"/>
            <w:left w:val="none" w:sz="0" w:space="0" w:color="auto"/>
            <w:bottom w:val="none" w:sz="0" w:space="0" w:color="auto"/>
            <w:right w:val="none" w:sz="0" w:space="0" w:color="auto"/>
          </w:divBdr>
          <w:divsChild>
            <w:div w:id="3675245">
              <w:marLeft w:val="0"/>
              <w:marRight w:val="0"/>
              <w:marTop w:val="0"/>
              <w:marBottom w:val="0"/>
              <w:divBdr>
                <w:top w:val="none" w:sz="0" w:space="0" w:color="auto"/>
                <w:left w:val="none" w:sz="0" w:space="0" w:color="auto"/>
                <w:bottom w:val="none" w:sz="0" w:space="0" w:color="auto"/>
                <w:right w:val="none" w:sz="0" w:space="0" w:color="auto"/>
              </w:divBdr>
            </w:div>
            <w:div w:id="651253463">
              <w:marLeft w:val="0"/>
              <w:marRight w:val="0"/>
              <w:marTop w:val="0"/>
              <w:marBottom w:val="0"/>
              <w:divBdr>
                <w:top w:val="none" w:sz="0" w:space="0" w:color="auto"/>
                <w:left w:val="none" w:sz="0" w:space="0" w:color="auto"/>
                <w:bottom w:val="none" w:sz="0" w:space="0" w:color="auto"/>
                <w:right w:val="none" w:sz="0" w:space="0" w:color="auto"/>
              </w:divBdr>
            </w:div>
            <w:div w:id="313485866">
              <w:marLeft w:val="0"/>
              <w:marRight w:val="0"/>
              <w:marTop w:val="0"/>
              <w:marBottom w:val="0"/>
              <w:divBdr>
                <w:top w:val="none" w:sz="0" w:space="0" w:color="auto"/>
                <w:left w:val="none" w:sz="0" w:space="0" w:color="auto"/>
                <w:bottom w:val="none" w:sz="0" w:space="0" w:color="auto"/>
                <w:right w:val="none" w:sz="0" w:space="0" w:color="auto"/>
              </w:divBdr>
            </w:div>
            <w:div w:id="71976967">
              <w:marLeft w:val="0"/>
              <w:marRight w:val="0"/>
              <w:marTop w:val="0"/>
              <w:marBottom w:val="0"/>
              <w:divBdr>
                <w:top w:val="none" w:sz="0" w:space="0" w:color="auto"/>
                <w:left w:val="none" w:sz="0" w:space="0" w:color="auto"/>
                <w:bottom w:val="none" w:sz="0" w:space="0" w:color="auto"/>
                <w:right w:val="none" w:sz="0" w:space="0" w:color="auto"/>
              </w:divBdr>
            </w:div>
            <w:div w:id="1351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0909">
      <w:bodyDiv w:val="1"/>
      <w:marLeft w:val="0"/>
      <w:marRight w:val="0"/>
      <w:marTop w:val="0"/>
      <w:marBottom w:val="0"/>
      <w:divBdr>
        <w:top w:val="none" w:sz="0" w:space="0" w:color="auto"/>
        <w:left w:val="none" w:sz="0" w:space="0" w:color="auto"/>
        <w:bottom w:val="none" w:sz="0" w:space="0" w:color="auto"/>
        <w:right w:val="none" w:sz="0" w:space="0" w:color="auto"/>
      </w:divBdr>
    </w:div>
    <w:div w:id="1499539503">
      <w:bodyDiv w:val="1"/>
      <w:marLeft w:val="0"/>
      <w:marRight w:val="0"/>
      <w:marTop w:val="0"/>
      <w:marBottom w:val="0"/>
      <w:divBdr>
        <w:top w:val="none" w:sz="0" w:space="0" w:color="auto"/>
        <w:left w:val="none" w:sz="0" w:space="0" w:color="auto"/>
        <w:bottom w:val="none" w:sz="0" w:space="0" w:color="auto"/>
        <w:right w:val="none" w:sz="0" w:space="0" w:color="auto"/>
      </w:divBdr>
    </w:div>
    <w:div w:id="1669211704">
      <w:bodyDiv w:val="1"/>
      <w:marLeft w:val="0"/>
      <w:marRight w:val="0"/>
      <w:marTop w:val="0"/>
      <w:marBottom w:val="0"/>
      <w:divBdr>
        <w:top w:val="none" w:sz="0" w:space="0" w:color="auto"/>
        <w:left w:val="none" w:sz="0" w:space="0" w:color="auto"/>
        <w:bottom w:val="none" w:sz="0" w:space="0" w:color="auto"/>
        <w:right w:val="none" w:sz="0" w:space="0" w:color="auto"/>
      </w:divBdr>
      <w:divsChild>
        <w:div w:id="163514920">
          <w:marLeft w:val="0"/>
          <w:marRight w:val="0"/>
          <w:marTop w:val="0"/>
          <w:marBottom w:val="0"/>
          <w:divBdr>
            <w:top w:val="none" w:sz="0" w:space="0" w:color="auto"/>
            <w:left w:val="none" w:sz="0" w:space="0" w:color="auto"/>
            <w:bottom w:val="none" w:sz="0" w:space="0" w:color="auto"/>
            <w:right w:val="none" w:sz="0" w:space="0" w:color="auto"/>
          </w:divBdr>
        </w:div>
      </w:divsChild>
    </w:div>
    <w:div w:id="2089305227">
      <w:bodyDiv w:val="1"/>
      <w:marLeft w:val="0"/>
      <w:marRight w:val="0"/>
      <w:marTop w:val="0"/>
      <w:marBottom w:val="0"/>
      <w:divBdr>
        <w:top w:val="none" w:sz="0" w:space="0" w:color="auto"/>
        <w:left w:val="none" w:sz="0" w:space="0" w:color="auto"/>
        <w:bottom w:val="none" w:sz="0" w:space="0" w:color="auto"/>
        <w:right w:val="none" w:sz="0" w:space="0" w:color="auto"/>
      </w:divBdr>
    </w:div>
    <w:div w:id="2134715848">
      <w:bodyDiv w:val="1"/>
      <w:marLeft w:val="0"/>
      <w:marRight w:val="0"/>
      <w:marTop w:val="0"/>
      <w:marBottom w:val="0"/>
      <w:divBdr>
        <w:top w:val="none" w:sz="0" w:space="0" w:color="auto"/>
        <w:left w:val="none" w:sz="0" w:space="0" w:color="auto"/>
        <w:bottom w:val="none" w:sz="0" w:space="0" w:color="auto"/>
        <w:right w:val="none" w:sz="0" w:space="0" w:color="auto"/>
      </w:divBdr>
      <w:divsChild>
        <w:div w:id="1637298368">
          <w:marLeft w:val="0"/>
          <w:marRight w:val="0"/>
          <w:marTop w:val="0"/>
          <w:marBottom w:val="0"/>
          <w:divBdr>
            <w:top w:val="none" w:sz="0" w:space="0" w:color="auto"/>
            <w:left w:val="none" w:sz="0" w:space="0" w:color="auto"/>
            <w:bottom w:val="none" w:sz="0" w:space="0" w:color="auto"/>
            <w:right w:val="none" w:sz="0" w:space="0" w:color="auto"/>
          </w:divBdr>
        </w:div>
        <w:div w:id="1242593633">
          <w:marLeft w:val="0"/>
          <w:marRight w:val="0"/>
          <w:marTop w:val="0"/>
          <w:marBottom w:val="0"/>
          <w:divBdr>
            <w:top w:val="none" w:sz="0" w:space="0" w:color="auto"/>
            <w:left w:val="none" w:sz="0" w:space="0" w:color="auto"/>
            <w:bottom w:val="none" w:sz="0" w:space="0" w:color="auto"/>
            <w:right w:val="none" w:sz="0" w:space="0" w:color="auto"/>
          </w:divBdr>
        </w:div>
        <w:div w:id="467212669">
          <w:marLeft w:val="0"/>
          <w:marRight w:val="0"/>
          <w:marTop w:val="0"/>
          <w:marBottom w:val="0"/>
          <w:divBdr>
            <w:top w:val="none" w:sz="0" w:space="0" w:color="auto"/>
            <w:left w:val="none" w:sz="0" w:space="0" w:color="auto"/>
            <w:bottom w:val="none" w:sz="0" w:space="0" w:color="auto"/>
            <w:right w:val="none" w:sz="0" w:space="0" w:color="auto"/>
          </w:divBdr>
        </w:div>
        <w:div w:id="1831211080">
          <w:marLeft w:val="0"/>
          <w:marRight w:val="0"/>
          <w:marTop w:val="0"/>
          <w:marBottom w:val="0"/>
          <w:divBdr>
            <w:top w:val="none" w:sz="0" w:space="0" w:color="auto"/>
            <w:left w:val="none" w:sz="0" w:space="0" w:color="auto"/>
            <w:bottom w:val="none" w:sz="0" w:space="0" w:color="auto"/>
            <w:right w:val="none" w:sz="0" w:space="0" w:color="auto"/>
          </w:divBdr>
        </w:div>
        <w:div w:id="69901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fp.gob.mx/publicaciones/documento/2021/cefp011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1D0EE-0977-463A-8A61-74854CA6D942}">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5118</Words>
  <Characters>28152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2022-07-07T18:56:00Z</cp:lastPrinted>
  <dcterms:created xsi:type="dcterms:W3CDTF">2022-07-21T14:35:00Z</dcterms:created>
  <dcterms:modified xsi:type="dcterms:W3CDTF">2022-07-21T14:35:00Z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