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C40B" w14:textId="32131580" w:rsidR="00E700A7" w:rsidRPr="00D47EE7" w:rsidRDefault="00E700A7" w:rsidP="00E700A7">
      <w:pPr>
        <w:jc w:val="both"/>
        <w:rPr>
          <w:rFonts w:ascii="Century Gothic" w:hAnsi="Century Gothic"/>
          <w:sz w:val="20"/>
          <w:szCs w:val="20"/>
        </w:rPr>
      </w:pPr>
      <w:r w:rsidRPr="00D47EE7">
        <w:rPr>
          <w:rFonts w:ascii="Century Gothic" w:hAnsi="Century Gothic"/>
          <w:sz w:val="20"/>
          <w:szCs w:val="20"/>
        </w:rPr>
        <w:t xml:space="preserve">El Municipio de Celaya, Guanajuato, en lo sucesivo “El Municipio”, con fundamento en lo dispuesto en los artículos 115 fracción II de la Constitución Política de los Estados Unidos Mexicanos, 117 fracción XII de la Constitución Política para el Estado de Guanajuato; 210 y 213 de la Ley Orgánica Municipal para el Estado de Guanajuato; Acuerdo del H. Ayuntamiento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 publicado en el Periódico Oficial de Gobierno del Estado ejemplar número 116 Segunda Parte de fecha 11 de junio del año en curso, convoca a personas físicas y morales nacionales, a participar en la venta fuera de subasta pública de bienes muebles en desuso, que se llevará a cabo el m</w:t>
      </w:r>
      <w:r w:rsidR="00D23BED" w:rsidRPr="00D47EE7">
        <w:rPr>
          <w:rFonts w:ascii="Century Gothic" w:hAnsi="Century Gothic"/>
          <w:sz w:val="20"/>
          <w:szCs w:val="20"/>
        </w:rPr>
        <w:t xml:space="preserve">artes </w:t>
      </w:r>
      <w:r w:rsidR="00C73B0E" w:rsidRPr="00D47EE7">
        <w:rPr>
          <w:rFonts w:ascii="Century Gothic" w:hAnsi="Century Gothic"/>
          <w:sz w:val="20"/>
          <w:szCs w:val="20"/>
        </w:rPr>
        <w:t>2</w:t>
      </w:r>
      <w:r w:rsidR="00D23BED" w:rsidRPr="00D47EE7">
        <w:rPr>
          <w:rFonts w:ascii="Century Gothic" w:hAnsi="Century Gothic"/>
          <w:sz w:val="20"/>
          <w:szCs w:val="20"/>
        </w:rPr>
        <w:t>4</w:t>
      </w:r>
      <w:r w:rsidRPr="00D47EE7">
        <w:rPr>
          <w:rFonts w:ascii="Century Gothic" w:hAnsi="Century Gothic"/>
          <w:sz w:val="20"/>
          <w:szCs w:val="20"/>
        </w:rPr>
        <w:t xml:space="preserve"> de agosto de 2021, bajo las siguientes:</w:t>
      </w:r>
    </w:p>
    <w:p w14:paraId="465FA8F8" w14:textId="77777777" w:rsidR="00E700A7" w:rsidRPr="00D47EE7" w:rsidRDefault="00E700A7" w:rsidP="00E700A7">
      <w:pPr>
        <w:jc w:val="both"/>
        <w:rPr>
          <w:rFonts w:ascii="Century Gothic" w:hAnsi="Century Gothic"/>
          <w:sz w:val="20"/>
          <w:szCs w:val="20"/>
        </w:rPr>
      </w:pPr>
    </w:p>
    <w:p w14:paraId="5EE21D2A" w14:textId="77777777" w:rsidR="00E700A7" w:rsidRPr="00D47EE7" w:rsidRDefault="00E700A7" w:rsidP="00E700A7">
      <w:pPr>
        <w:jc w:val="center"/>
        <w:rPr>
          <w:rFonts w:ascii="Century Gothic" w:hAnsi="Century Gothic"/>
          <w:b/>
          <w:sz w:val="20"/>
          <w:szCs w:val="20"/>
        </w:rPr>
      </w:pPr>
      <w:r w:rsidRPr="00D47EE7">
        <w:rPr>
          <w:rFonts w:ascii="Century Gothic" w:hAnsi="Century Gothic"/>
          <w:b/>
          <w:sz w:val="20"/>
          <w:szCs w:val="20"/>
        </w:rPr>
        <w:t>B A S E S</w:t>
      </w:r>
    </w:p>
    <w:p w14:paraId="2385C3C1" w14:textId="77777777" w:rsidR="00E700A7" w:rsidRPr="00D47EE7" w:rsidRDefault="00E700A7" w:rsidP="00E700A7">
      <w:pPr>
        <w:jc w:val="center"/>
        <w:rPr>
          <w:rFonts w:ascii="Century Gothic" w:hAnsi="Century Gothic"/>
          <w:b/>
          <w:sz w:val="20"/>
          <w:szCs w:val="20"/>
        </w:rPr>
      </w:pPr>
    </w:p>
    <w:p w14:paraId="5DB38161" w14:textId="77777777" w:rsidR="00E700A7" w:rsidRPr="00D47EE7" w:rsidRDefault="00E700A7" w:rsidP="00E700A7">
      <w:pPr>
        <w:rPr>
          <w:rFonts w:ascii="Century Gothic" w:hAnsi="Century Gothic"/>
          <w:sz w:val="20"/>
          <w:szCs w:val="20"/>
        </w:rPr>
      </w:pPr>
      <w:r w:rsidRPr="00D47EE7">
        <w:rPr>
          <w:rFonts w:ascii="Century Gothic" w:hAnsi="Century Gothic"/>
          <w:b/>
          <w:sz w:val="20"/>
          <w:szCs w:val="20"/>
        </w:rPr>
        <w:t>I. Información detallada de los bienes muebles a enajenar</w:t>
      </w:r>
      <w:r w:rsidRPr="00D47EE7">
        <w:rPr>
          <w:rFonts w:ascii="Century Gothic" w:hAnsi="Century Gothic"/>
          <w:sz w:val="20"/>
          <w:szCs w:val="20"/>
        </w:rPr>
        <w:t>.</w:t>
      </w:r>
    </w:p>
    <w:p w14:paraId="4A773DE7" w14:textId="77777777"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1.1</w:t>
      </w:r>
      <w:r w:rsidRPr="00D47EE7">
        <w:rPr>
          <w:rFonts w:ascii="Century Gothic" w:hAnsi="Century Gothic"/>
          <w:sz w:val="20"/>
          <w:szCs w:val="20"/>
        </w:rPr>
        <w:tab/>
        <w:t xml:space="preserve">Los bienes muebles en desuso materia de la </w:t>
      </w:r>
      <w:r w:rsidR="005B22A1" w:rsidRPr="00D47EE7">
        <w:rPr>
          <w:rFonts w:ascii="Century Gothic" w:hAnsi="Century Gothic"/>
          <w:sz w:val="20"/>
          <w:szCs w:val="20"/>
        </w:rPr>
        <w:t>enajenación</w:t>
      </w:r>
      <w:r w:rsidRPr="00D47EE7">
        <w:rPr>
          <w:rFonts w:ascii="Century Gothic" w:hAnsi="Century Gothic"/>
          <w:sz w:val="20"/>
          <w:szCs w:val="20"/>
        </w:rPr>
        <w:t xml:space="preserve">, son bienes del dominio privado del Municipio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 xml:space="preserve">., por lo que se está en </w:t>
      </w:r>
      <w:r w:rsidR="005B22A1" w:rsidRPr="00D47EE7">
        <w:rPr>
          <w:rFonts w:ascii="Century Gothic" w:hAnsi="Century Gothic"/>
          <w:sz w:val="20"/>
          <w:szCs w:val="20"/>
        </w:rPr>
        <w:t xml:space="preserve">condiciones </w:t>
      </w:r>
      <w:r w:rsidRPr="00D47EE7">
        <w:rPr>
          <w:rFonts w:ascii="Century Gothic" w:hAnsi="Century Gothic"/>
          <w:sz w:val="20"/>
          <w:szCs w:val="20"/>
        </w:rPr>
        <w:t>de proceder a su venta. Consiste en un lote de 7,097 siete mil noventa y siete luminarias de diferentes marcas y modelos.</w:t>
      </w:r>
    </w:p>
    <w:p w14:paraId="5B8EB4B0" w14:textId="77777777" w:rsidR="00E700A7" w:rsidRPr="00D47EE7" w:rsidRDefault="00E700A7" w:rsidP="00E700A7">
      <w:pPr>
        <w:tabs>
          <w:tab w:val="left" w:pos="0"/>
          <w:tab w:val="left" w:pos="426"/>
        </w:tabs>
        <w:jc w:val="both"/>
        <w:rPr>
          <w:rFonts w:ascii="Century Gothic" w:hAnsi="Century Gothic"/>
          <w:sz w:val="20"/>
          <w:szCs w:val="20"/>
        </w:rPr>
      </w:pPr>
    </w:p>
    <w:p w14:paraId="0CB6A1C0" w14:textId="77777777" w:rsidR="00E700A7" w:rsidRPr="00D47EE7" w:rsidRDefault="00E700A7" w:rsidP="00E700A7">
      <w:pPr>
        <w:tabs>
          <w:tab w:val="left" w:pos="426"/>
        </w:tabs>
        <w:jc w:val="both"/>
        <w:rPr>
          <w:rFonts w:ascii="Century Gothic" w:hAnsi="Century Gothic"/>
          <w:b/>
          <w:sz w:val="20"/>
          <w:szCs w:val="20"/>
        </w:rPr>
      </w:pPr>
      <w:r w:rsidRPr="00D47EE7">
        <w:rPr>
          <w:rFonts w:ascii="Century Gothic" w:hAnsi="Century Gothic"/>
          <w:b/>
          <w:sz w:val="20"/>
          <w:szCs w:val="20"/>
        </w:rPr>
        <w:t>II.</w:t>
      </w:r>
      <w:r w:rsidRPr="00D47EE7">
        <w:rPr>
          <w:rFonts w:ascii="Century Gothic" w:hAnsi="Century Gothic"/>
          <w:b/>
          <w:sz w:val="20"/>
          <w:szCs w:val="20"/>
        </w:rPr>
        <w:tab/>
        <w:t>Precio mínimo autorizado por el Ayuntamiento.</w:t>
      </w:r>
    </w:p>
    <w:p w14:paraId="5568061C" w14:textId="77777777" w:rsidR="00E700A7" w:rsidRPr="00D47EE7" w:rsidRDefault="00E700A7" w:rsidP="00E700A7">
      <w:pPr>
        <w:tabs>
          <w:tab w:val="left" w:pos="0"/>
          <w:tab w:val="left" w:pos="426"/>
          <w:tab w:val="left" w:pos="567"/>
        </w:tabs>
        <w:jc w:val="both"/>
        <w:rPr>
          <w:rFonts w:ascii="Century Gothic" w:hAnsi="Century Gothic"/>
          <w:sz w:val="20"/>
          <w:szCs w:val="20"/>
        </w:rPr>
      </w:pPr>
      <w:r w:rsidRPr="00D47EE7">
        <w:rPr>
          <w:rFonts w:ascii="Century Gothic" w:hAnsi="Century Gothic"/>
          <w:sz w:val="20"/>
          <w:szCs w:val="20"/>
        </w:rPr>
        <w:t>2.1</w:t>
      </w:r>
      <w:r w:rsidRPr="00D47EE7">
        <w:rPr>
          <w:rFonts w:ascii="Century Gothic" w:hAnsi="Century Gothic"/>
          <w:sz w:val="20"/>
          <w:szCs w:val="20"/>
        </w:rPr>
        <w:tab/>
        <w:t>El precio por kilogramo que, al momento del evento, rija en el mercado.</w:t>
      </w:r>
    </w:p>
    <w:p w14:paraId="12BF4554" w14:textId="77777777" w:rsidR="00E700A7" w:rsidRPr="00D47EE7" w:rsidRDefault="00E700A7" w:rsidP="00E700A7">
      <w:pPr>
        <w:tabs>
          <w:tab w:val="left" w:pos="0"/>
          <w:tab w:val="left" w:pos="426"/>
          <w:tab w:val="left" w:pos="567"/>
        </w:tabs>
        <w:jc w:val="both"/>
        <w:rPr>
          <w:rFonts w:ascii="Century Gothic" w:hAnsi="Century Gothic"/>
          <w:sz w:val="20"/>
          <w:szCs w:val="20"/>
        </w:rPr>
      </w:pPr>
    </w:p>
    <w:p w14:paraId="4ED3633C" w14:textId="77777777" w:rsidR="00E700A7" w:rsidRPr="00D47EE7" w:rsidRDefault="00E700A7" w:rsidP="00E700A7">
      <w:pPr>
        <w:tabs>
          <w:tab w:val="left" w:pos="0"/>
          <w:tab w:val="left" w:pos="426"/>
          <w:tab w:val="left" w:pos="567"/>
        </w:tabs>
        <w:jc w:val="both"/>
        <w:rPr>
          <w:rFonts w:ascii="Century Gothic" w:hAnsi="Century Gothic"/>
          <w:sz w:val="20"/>
          <w:szCs w:val="20"/>
        </w:rPr>
      </w:pPr>
      <w:r w:rsidRPr="00D47EE7">
        <w:rPr>
          <w:rFonts w:ascii="Century Gothic" w:hAnsi="Century Gothic"/>
          <w:sz w:val="20"/>
          <w:szCs w:val="20"/>
        </w:rPr>
        <w:t>2.2</w:t>
      </w:r>
      <w:r w:rsidRPr="00D47EE7">
        <w:rPr>
          <w:rFonts w:ascii="Century Gothic" w:hAnsi="Century Gothic"/>
          <w:sz w:val="20"/>
          <w:szCs w:val="20"/>
        </w:rPr>
        <w:tab/>
        <w:t>El precio base será determinado por perito valuador autorizado en la semana del proceso de la venta.</w:t>
      </w:r>
    </w:p>
    <w:p w14:paraId="1E92C5B9" w14:textId="77777777" w:rsidR="00E700A7" w:rsidRPr="00D47EE7" w:rsidRDefault="00E700A7" w:rsidP="00E700A7">
      <w:pPr>
        <w:tabs>
          <w:tab w:val="left" w:pos="426"/>
        </w:tabs>
        <w:jc w:val="both"/>
        <w:rPr>
          <w:rFonts w:ascii="Century Gothic" w:hAnsi="Century Gothic"/>
          <w:b/>
          <w:sz w:val="20"/>
          <w:szCs w:val="20"/>
        </w:rPr>
      </w:pPr>
    </w:p>
    <w:p w14:paraId="7FB80446" w14:textId="77777777" w:rsidR="00E700A7" w:rsidRPr="00D47EE7" w:rsidRDefault="00E700A7" w:rsidP="00E700A7">
      <w:pPr>
        <w:tabs>
          <w:tab w:val="left" w:pos="426"/>
        </w:tabs>
        <w:jc w:val="both"/>
        <w:rPr>
          <w:rFonts w:ascii="Century Gothic" w:hAnsi="Century Gothic"/>
          <w:b/>
          <w:sz w:val="20"/>
          <w:szCs w:val="20"/>
        </w:rPr>
      </w:pPr>
      <w:r w:rsidRPr="00D47EE7">
        <w:rPr>
          <w:rFonts w:ascii="Century Gothic" w:hAnsi="Century Gothic"/>
          <w:b/>
          <w:sz w:val="20"/>
          <w:szCs w:val="20"/>
        </w:rPr>
        <w:t>III.</w:t>
      </w:r>
      <w:r w:rsidRPr="00D47EE7">
        <w:rPr>
          <w:rFonts w:ascii="Century Gothic" w:hAnsi="Century Gothic"/>
          <w:b/>
          <w:sz w:val="20"/>
          <w:szCs w:val="20"/>
        </w:rPr>
        <w:tab/>
        <w:t>Verificación física de los bienes muebles.</w:t>
      </w:r>
    </w:p>
    <w:p w14:paraId="5188E8DD" w14:textId="51DE261D"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3.1</w:t>
      </w:r>
      <w:r w:rsidRPr="00D47EE7">
        <w:rPr>
          <w:rFonts w:ascii="Century Gothic" w:hAnsi="Century Gothic"/>
          <w:sz w:val="20"/>
          <w:szCs w:val="20"/>
        </w:rPr>
        <w:tab/>
        <w:t>Los interesados podrán realizar la verificación física de l</w:t>
      </w:r>
      <w:r w:rsidR="00A375E3" w:rsidRPr="00D47EE7">
        <w:rPr>
          <w:rFonts w:ascii="Century Gothic" w:hAnsi="Century Gothic"/>
          <w:sz w:val="20"/>
          <w:szCs w:val="20"/>
        </w:rPr>
        <w:t xml:space="preserve">os bienes </w:t>
      </w:r>
      <w:r w:rsidRPr="00D47EE7">
        <w:rPr>
          <w:rFonts w:ascii="Century Gothic" w:hAnsi="Century Gothic"/>
          <w:sz w:val="20"/>
          <w:szCs w:val="20"/>
        </w:rPr>
        <w:t xml:space="preserve">en el almacén de la Dirección de Control Patrimonial, sita calle Ignacio Borunda número 106, fraccionamiento Ciudad Industrial de esta ciudad, del </w:t>
      </w:r>
      <w:r w:rsidR="00953685">
        <w:rPr>
          <w:rFonts w:ascii="Century Gothic" w:hAnsi="Century Gothic"/>
          <w:sz w:val="20"/>
          <w:szCs w:val="20"/>
        </w:rPr>
        <w:t xml:space="preserve">lunes 16 </w:t>
      </w:r>
      <w:r w:rsidRPr="00D47EE7">
        <w:rPr>
          <w:rFonts w:ascii="Century Gothic" w:hAnsi="Century Gothic"/>
          <w:sz w:val="20"/>
          <w:szCs w:val="20"/>
        </w:rPr>
        <w:t xml:space="preserve">al </w:t>
      </w:r>
      <w:r w:rsidR="00015657" w:rsidRPr="00D47EE7">
        <w:rPr>
          <w:rFonts w:ascii="Century Gothic" w:hAnsi="Century Gothic"/>
          <w:sz w:val="20"/>
          <w:szCs w:val="20"/>
        </w:rPr>
        <w:t>viernes 20</w:t>
      </w:r>
      <w:r w:rsidRPr="00D47EE7">
        <w:rPr>
          <w:rFonts w:ascii="Century Gothic" w:hAnsi="Century Gothic"/>
          <w:sz w:val="20"/>
          <w:szCs w:val="20"/>
        </w:rPr>
        <w:t xml:space="preserve"> de agosto del año en curso, en un horario de las 09:00 a las 14:00 horas. Los interesados se registrarán en una lista de asistencia. Un empleado municipal de la Dirección de Control Patrimonial les guiará en el recorrido.</w:t>
      </w:r>
    </w:p>
    <w:p w14:paraId="0C5A54CF" w14:textId="77777777" w:rsidR="00E700A7" w:rsidRPr="00D47EE7" w:rsidRDefault="00E700A7" w:rsidP="00E700A7">
      <w:pPr>
        <w:tabs>
          <w:tab w:val="left" w:pos="0"/>
          <w:tab w:val="left" w:pos="426"/>
        </w:tabs>
        <w:jc w:val="both"/>
        <w:rPr>
          <w:rFonts w:ascii="Century Gothic" w:hAnsi="Century Gothic"/>
          <w:sz w:val="20"/>
          <w:szCs w:val="20"/>
        </w:rPr>
      </w:pPr>
    </w:p>
    <w:p w14:paraId="0074399B" w14:textId="77777777" w:rsidR="00E700A7" w:rsidRPr="00D47EE7" w:rsidRDefault="00E700A7" w:rsidP="00E700A7">
      <w:pPr>
        <w:tabs>
          <w:tab w:val="left" w:pos="0"/>
          <w:tab w:val="left" w:pos="426"/>
        </w:tabs>
        <w:jc w:val="both"/>
        <w:rPr>
          <w:rFonts w:ascii="Century Gothic" w:hAnsi="Century Gothic"/>
          <w:b/>
          <w:sz w:val="20"/>
          <w:szCs w:val="20"/>
        </w:rPr>
      </w:pPr>
      <w:r w:rsidRPr="00D47EE7">
        <w:rPr>
          <w:rFonts w:ascii="Century Gothic" w:hAnsi="Century Gothic"/>
          <w:b/>
          <w:sz w:val="20"/>
          <w:szCs w:val="20"/>
        </w:rPr>
        <w:t>IV.</w:t>
      </w:r>
      <w:r w:rsidRPr="00D47EE7">
        <w:rPr>
          <w:rFonts w:ascii="Century Gothic" w:hAnsi="Century Gothic"/>
          <w:b/>
          <w:sz w:val="20"/>
          <w:szCs w:val="20"/>
        </w:rPr>
        <w:tab/>
        <w:t>Requisitos que deben cumplir los interesados en participar en la venta:</w:t>
      </w:r>
    </w:p>
    <w:p w14:paraId="05D2AFD3" w14:textId="2243D386"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4.1</w:t>
      </w:r>
      <w:r w:rsidRPr="00D47EE7">
        <w:rPr>
          <w:rFonts w:ascii="Century Gothic" w:hAnsi="Century Gothic"/>
          <w:sz w:val="20"/>
          <w:szCs w:val="20"/>
        </w:rPr>
        <w:tab/>
        <w:t>Los interesados deberán presentar el día del acto de la presentación y apertura de ofertas, dos sobres completamente cerrados en forma inviolable. En el primer sobre entregarán su oferta económica en el formato que se anexa a las bases, indicando con toda precisión el precio por kilogramo que ofrece</w:t>
      </w:r>
      <w:r w:rsidR="008F58B5" w:rsidRPr="00D47EE7">
        <w:rPr>
          <w:rFonts w:ascii="Century Gothic" w:hAnsi="Century Gothic"/>
          <w:sz w:val="20"/>
          <w:szCs w:val="20"/>
        </w:rPr>
        <w:t>,</w:t>
      </w:r>
      <w:r w:rsidRPr="00D47EE7">
        <w:rPr>
          <w:rFonts w:ascii="Century Gothic" w:hAnsi="Century Gothic"/>
          <w:sz w:val="20"/>
          <w:szCs w:val="20"/>
        </w:rPr>
        <w:t xml:space="preserve"> con número y letra, al que deberá adjuntar la garantía de seriedad de oferta constituida mediante cheque c</w:t>
      </w:r>
      <w:r w:rsidR="00D41A1B">
        <w:rPr>
          <w:rFonts w:ascii="Century Gothic" w:hAnsi="Century Gothic"/>
          <w:sz w:val="20"/>
          <w:szCs w:val="20"/>
        </w:rPr>
        <w:t xml:space="preserve">ruzado </w:t>
      </w:r>
      <w:r w:rsidRPr="00D47EE7">
        <w:rPr>
          <w:rFonts w:ascii="Century Gothic" w:hAnsi="Century Gothic"/>
          <w:sz w:val="20"/>
          <w:szCs w:val="20"/>
        </w:rPr>
        <w:t xml:space="preserve">a favor del Municipio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 xml:space="preserve">., por la cantidad de $ </w:t>
      </w:r>
      <w:r w:rsidR="00056C05" w:rsidRPr="00D47EE7">
        <w:rPr>
          <w:rFonts w:ascii="Century Gothic" w:hAnsi="Century Gothic"/>
          <w:sz w:val="20"/>
          <w:szCs w:val="20"/>
        </w:rPr>
        <w:t>40</w:t>
      </w:r>
      <w:r w:rsidRPr="00D47EE7">
        <w:rPr>
          <w:rFonts w:ascii="Century Gothic" w:hAnsi="Century Gothic"/>
          <w:sz w:val="20"/>
          <w:szCs w:val="20"/>
        </w:rPr>
        <w:t>,000.00 (</w:t>
      </w:r>
      <w:r w:rsidR="00056C05" w:rsidRPr="00D47EE7">
        <w:rPr>
          <w:rFonts w:ascii="Century Gothic" w:hAnsi="Century Gothic"/>
          <w:sz w:val="20"/>
          <w:szCs w:val="20"/>
        </w:rPr>
        <w:t xml:space="preserve">cuarenta </w:t>
      </w:r>
      <w:r w:rsidRPr="00D47EE7">
        <w:rPr>
          <w:rFonts w:ascii="Century Gothic" w:hAnsi="Century Gothic"/>
          <w:sz w:val="20"/>
          <w:szCs w:val="20"/>
        </w:rPr>
        <w:t>mil pesos 00/100 M.N.).</w:t>
      </w:r>
    </w:p>
    <w:p w14:paraId="7EAFF430" w14:textId="77777777" w:rsidR="00E700A7" w:rsidRPr="00D47EE7" w:rsidRDefault="00E700A7" w:rsidP="00E700A7">
      <w:pPr>
        <w:tabs>
          <w:tab w:val="left" w:pos="0"/>
          <w:tab w:val="left" w:pos="426"/>
        </w:tabs>
        <w:jc w:val="both"/>
        <w:rPr>
          <w:rFonts w:ascii="Century Gothic" w:hAnsi="Century Gothic"/>
          <w:sz w:val="20"/>
          <w:szCs w:val="20"/>
        </w:rPr>
      </w:pPr>
    </w:p>
    <w:p w14:paraId="3F37C62A" w14:textId="77777777"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En el segundo sobre, entregará los documentos siguientes:</w:t>
      </w:r>
    </w:p>
    <w:p w14:paraId="59BA0310"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4.1.1</w:t>
      </w:r>
      <w:r w:rsidRPr="00D47EE7">
        <w:rPr>
          <w:rFonts w:ascii="Century Gothic" w:hAnsi="Century Gothic"/>
          <w:sz w:val="20"/>
          <w:szCs w:val="20"/>
        </w:rPr>
        <w:tab/>
        <w:t>Tratándose de personas físicas.</w:t>
      </w:r>
    </w:p>
    <w:p w14:paraId="5014536E" w14:textId="77777777" w:rsidR="00E700A7" w:rsidRPr="00D47EE7" w:rsidRDefault="00E700A7" w:rsidP="00E700A7">
      <w:pPr>
        <w:tabs>
          <w:tab w:val="left" w:pos="0"/>
          <w:tab w:val="left" w:pos="284"/>
        </w:tabs>
        <w:jc w:val="both"/>
        <w:rPr>
          <w:rFonts w:ascii="Century Gothic" w:hAnsi="Century Gothic"/>
          <w:sz w:val="20"/>
          <w:szCs w:val="20"/>
        </w:rPr>
      </w:pPr>
      <w:r w:rsidRPr="00D47EE7">
        <w:rPr>
          <w:rFonts w:ascii="Century Gothic" w:hAnsi="Century Gothic"/>
          <w:sz w:val="20"/>
          <w:szCs w:val="20"/>
        </w:rPr>
        <w:t>I.</w:t>
      </w:r>
      <w:r w:rsidRPr="00D47EE7">
        <w:rPr>
          <w:rFonts w:ascii="Century Gothic" w:hAnsi="Century Gothic"/>
          <w:sz w:val="20"/>
          <w:szCs w:val="20"/>
        </w:rPr>
        <w:tab/>
        <w:t>Escrito en el que declare bajo protesta de decir verdad, que no se encuentra impedido para participar en procedimientos de contratación, en términos del artículo 42 de la Ley de Contrataciones Públicas para el Estado de Guanajuato y, que participa en condiciones que no implican ventajas ilícitas respecto de otros interesados.</w:t>
      </w:r>
    </w:p>
    <w:p w14:paraId="36D17BE7" w14:textId="77777777" w:rsidR="00E700A7" w:rsidRPr="00D47EE7" w:rsidRDefault="00E700A7" w:rsidP="00E700A7">
      <w:pPr>
        <w:tabs>
          <w:tab w:val="left" w:pos="567"/>
        </w:tabs>
        <w:ind w:left="420" w:hanging="420"/>
        <w:jc w:val="both"/>
        <w:rPr>
          <w:rFonts w:ascii="Century Gothic" w:hAnsi="Century Gothic"/>
          <w:sz w:val="20"/>
          <w:szCs w:val="20"/>
        </w:rPr>
      </w:pPr>
    </w:p>
    <w:p w14:paraId="1D8B17B3" w14:textId="77777777" w:rsidR="00E700A7" w:rsidRPr="00D47EE7" w:rsidRDefault="00E700A7" w:rsidP="00E700A7">
      <w:pPr>
        <w:tabs>
          <w:tab w:val="left" w:pos="0"/>
          <w:tab w:val="left" w:pos="284"/>
          <w:tab w:val="left" w:pos="567"/>
        </w:tabs>
        <w:jc w:val="both"/>
        <w:rPr>
          <w:rFonts w:ascii="Century Gothic" w:hAnsi="Century Gothic"/>
          <w:sz w:val="20"/>
          <w:szCs w:val="20"/>
        </w:rPr>
      </w:pPr>
      <w:r w:rsidRPr="00D47EE7">
        <w:rPr>
          <w:rFonts w:ascii="Century Gothic" w:hAnsi="Century Gothic"/>
          <w:sz w:val="20"/>
          <w:szCs w:val="20"/>
        </w:rPr>
        <w:t>II.</w:t>
      </w:r>
      <w:r w:rsidRPr="00D47EE7">
        <w:rPr>
          <w:rFonts w:ascii="Century Gothic" w:hAnsi="Century Gothic"/>
          <w:sz w:val="20"/>
          <w:szCs w:val="20"/>
        </w:rPr>
        <w:tab/>
        <w:t>Constancia de situación fiscal.</w:t>
      </w:r>
    </w:p>
    <w:p w14:paraId="7C18EC24" w14:textId="77777777" w:rsidR="00B45CFD" w:rsidRPr="00D47EE7" w:rsidRDefault="00B45CFD" w:rsidP="00E700A7">
      <w:pPr>
        <w:tabs>
          <w:tab w:val="left" w:pos="0"/>
          <w:tab w:val="left" w:pos="284"/>
        </w:tabs>
        <w:jc w:val="both"/>
        <w:rPr>
          <w:rFonts w:ascii="Century Gothic" w:hAnsi="Century Gothic"/>
          <w:sz w:val="20"/>
          <w:szCs w:val="20"/>
        </w:rPr>
      </w:pPr>
    </w:p>
    <w:p w14:paraId="6328112B" w14:textId="77777777" w:rsidR="00E700A7" w:rsidRPr="00D47EE7" w:rsidRDefault="00E700A7" w:rsidP="00E700A7">
      <w:pPr>
        <w:tabs>
          <w:tab w:val="left" w:pos="0"/>
          <w:tab w:val="left" w:pos="284"/>
        </w:tabs>
        <w:jc w:val="both"/>
        <w:rPr>
          <w:rFonts w:ascii="Century Gothic" w:hAnsi="Century Gothic"/>
          <w:sz w:val="20"/>
          <w:szCs w:val="20"/>
        </w:rPr>
      </w:pPr>
      <w:r w:rsidRPr="00D47EE7">
        <w:rPr>
          <w:rFonts w:ascii="Century Gothic" w:hAnsi="Century Gothic"/>
          <w:sz w:val="20"/>
          <w:szCs w:val="20"/>
        </w:rPr>
        <w:t>III.</w:t>
      </w:r>
      <w:r w:rsidRPr="00D47EE7">
        <w:rPr>
          <w:rFonts w:ascii="Century Gothic" w:hAnsi="Century Gothic"/>
          <w:sz w:val="20"/>
          <w:szCs w:val="20"/>
        </w:rPr>
        <w:tab/>
        <w:t>Copia fotostática simple del comprobante de domicilio (únicamente se aceptará recibo de luz o telefonía fija con una antigüedad máxima de dos meses).</w:t>
      </w:r>
    </w:p>
    <w:p w14:paraId="707DE7E9" w14:textId="77777777" w:rsidR="00E700A7" w:rsidRPr="00D47EE7" w:rsidRDefault="00E700A7" w:rsidP="00E700A7">
      <w:pPr>
        <w:tabs>
          <w:tab w:val="left" w:pos="0"/>
          <w:tab w:val="left" w:pos="284"/>
        </w:tabs>
        <w:jc w:val="both"/>
        <w:rPr>
          <w:rFonts w:ascii="Century Gothic" w:hAnsi="Century Gothic"/>
          <w:sz w:val="20"/>
          <w:szCs w:val="20"/>
        </w:rPr>
      </w:pPr>
      <w:r w:rsidRPr="00D47EE7">
        <w:rPr>
          <w:rFonts w:ascii="Century Gothic" w:hAnsi="Century Gothic"/>
          <w:sz w:val="20"/>
          <w:szCs w:val="20"/>
        </w:rPr>
        <w:lastRenderedPageBreak/>
        <w:t>IV.</w:t>
      </w:r>
      <w:r w:rsidRPr="00D47EE7">
        <w:rPr>
          <w:rFonts w:ascii="Century Gothic" w:hAnsi="Century Gothic"/>
          <w:sz w:val="20"/>
          <w:szCs w:val="20"/>
        </w:rPr>
        <w:tab/>
        <w:t>Copia fotostática de identificación oficial vigente con fotografía (credencial de elector, licencia de conducir</w:t>
      </w:r>
      <w:r w:rsidR="0039750C" w:rsidRPr="00D47EE7">
        <w:rPr>
          <w:rFonts w:ascii="Century Gothic" w:hAnsi="Century Gothic"/>
          <w:sz w:val="20"/>
          <w:szCs w:val="20"/>
        </w:rPr>
        <w:t xml:space="preserve"> o</w:t>
      </w:r>
      <w:r w:rsidRPr="00D47EE7">
        <w:rPr>
          <w:rFonts w:ascii="Century Gothic" w:hAnsi="Century Gothic"/>
          <w:sz w:val="20"/>
          <w:szCs w:val="20"/>
        </w:rPr>
        <w:t xml:space="preserve"> pasaporte).</w:t>
      </w:r>
    </w:p>
    <w:p w14:paraId="2936C66A" w14:textId="77777777" w:rsidR="00E700A7" w:rsidRPr="00D47EE7" w:rsidRDefault="00E700A7" w:rsidP="00E700A7">
      <w:pPr>
        <w:tabs>
          <w:tab w:val="left" w:pos="284"/>
        </w:tabs>
        <w:ind w:left="284" w:hanging="284"/>
        <w:jc w:val="both"/>
        <w:rPr>
          <w:rFonts w:ascii="Century Gothic" w:hAnsi="Century Gothic"/>
          <w:sz w:val="20"/>
          <w:szCs w:val="20"/>
        </w:rPr>
      </w:pPr>
    </w:p>
    <w:p w14:paraId="35669239" w14:textId="77777777" w:rsidR="00E700A7" w:rsidRPr="00D47EE7" w:rsidRDefault="00E700A7" w:rsidP="00E700A7">
      <w:pPr>
        <w:tabs>
          <w:tab w:val="left" w:pos="284"/>
        </w:tabs>
        <w:ind w:left="284" w:hanging="284"/>
        <w:jc w:val="both"/>
        <w:rPr>
          <w:rFonts w:ascii="Century Gothic" w:hAnsi="Century Gothic"/>
          <w:sz w:val="20"/>
          <w:szCs w:val="20"/>
        </w:rPr>
      </w:pPr>
      <w:r w:rsidRPr="00D47EE7">
        <w:rPr>
          <w:rFonts w:ascii="Century Gothic" w:hAnsi="Century Gothic"/>
          <w:sz w:val="20"/>
          <w:szCs w:val="20"/>
        </w:rPr>
        <w:t>V.</w:t>
      </w:r>
      <w:r w:rsidRPr="00D47EE7">
        <w:rPr>
          <w:rFonts w:ascii="Century Gothic" w:hAnsi="Century Gothic"/>
          <w:sz w:val="20"/>
          <w:szCs w:val="20"/>
        </w:rPr>
        <w:tab/>
        <w:t>Número de teléfono y correo electrónico.</w:t>
      </w:r>
    </w:p>
    <w:p w14:paraId="3B0453A6" w14:textId="77777777" w:rsidR="00E700A7" w:rsidRPr="00D47EE7" w:rsidRDefault="00E700A7" w:rsidP="00E700A7">
      <w:pPr>
        <w:tabs>
          <w:tab w:val="left" w:pos="0"/>
          <w:tab w:val="left" w:pos="567"/>
        </w:tabs>
        <w:jc w:val="both"/>
        <w:rPr>
          <w:rFonts w:ascii="Century Gothic" w:hAnsi="Century Gothic"/>
          <w:sz w:val="20"/>
          <w:szCs w:val="20"/>
        </w:rPr>
      </w:pPr>
    </w:p>
    <w:p w14:paraId="3009D0F6"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 xml:space="preserve">4.1.2 </w:t>
      </w:r>
      <w:r w:rsidRPr="00D47EE7">
        <w:rPr>
          <w:rFonts w:ascii="Century Gothic" w:hAnsi="Century Gothic"/>
          <w:sz w:val="20"/>
          <w:szCs w:val="20"/>
        </w:rPr>
        <w:tab/>
        <w:t>En caso de persona moral.</w:t>
      </w:r>
    </w:p>
    <w:p w14:paraId="03A2360D"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Además de los documentos indicados en las fracciones I, II, III, IV y V del numeral 4.1.1 que antecede, debe agregar:</w:t>
      </w:r>
    </w:p>
    <w:p w14:paraId="01004B8C" w14:textId="77777777" w:rsidR="00E700A7" w:rsidRPr="00D47EE7" w:rsidRDefault="00E700A7" w:rsidP="00E700A7">
      <w:pPr>
        <w:tabs>
          <w:tab w:val="left" w:pos="0"/>
          <w:tab w:val="left" w:pos="284"/>
          <w:tab w:val="left" w:pos="567"/>
        </w:tabs>
        <w:jc w:val="both"/>
        <w:rPr>
          <w:rFonts w:ascii="Century Gothic" w:hAnsi="Century Gothic"/>
          <w:sz w:val="20"/>
          <w:szCs w:val="20"/>
        </w:rPr>
      </w:pPr>
      <w:r w:rsidRPr="00D47EE7">
        <w:rPr>
          <w:rFonts w:ascii="Century Gothic" w:hAnsi="Century Gothic"/>
          <w:sz w:val="20"/>
          <w:szCs w:val="20"/>
        </w:rPr>
        <w:t>a)</w:t>
      </w:r>
      <w:r w:rsidRPr="00D47EE7">
        <w:rPr>
          <w:rFonts w:ascii="Century Gothic" w:hAnsi="Century Gothic"/>
          <w:sz w:val="20"/>
          <w:szCs w:val="20"/>
        </w:rPr>
        <w:tab/>
        <w:t xml:space="preserve">Original o copia certificada para cotejo; y copia simple del acta constitutiva; </w:t>
      </w:r>
    </w:p>
    <w:p w14:paraId="035EDD87" w14:textId="77777777" w:rsidR="00E700A7" w:rsidRPr="00D47EE7" w:rsidRDefault="00E700A7" w:rsidP="00E700A7">
      <w:pPr>
        <w:tabs>
          <w:tab w:val="left" w:pos="0"/>
          <w:tab w:val="left" w:pos="284"/>
          <w:tab w:val="left" w:pos="567"/>
        </w:tabs>
        <w:jc w:val="both"/>
        <w:rPr>
          <w:rFonts w:ascii="Century Gothic" w:hAnsi="Century Gothic"/>
          <w:sz w:val="20"/>
          <w:szCs w:val="20"/>
        </w:rPr>
      </w:pPr>
      <w:r w:rsidRPr="00D47EE7">
        <w:rPr>
          <w:rFonts w:ascii="Century Gothic" w:hAnsi="Century Gothic"/>
          <w:sz w:val="20"/>
          <w:szCs w:val="20"/>
        </w:rPr>
        <w:t>b)</w:t>
      </w:r>
      <w:r w:rsidRPr="00D47EE7">
        <w:rPr>
          <w:rFonts w:ascii="Century Gothic" w:hAnsi="Century Gothic"/>
          <w:sz w:val="20"/>
          <w:szCs w:val="20"/>
        </w:rPr>
        <w:tab/>
        <w:t>Original o copia certificada para cotejo; y copia simple del instrumento público del representante o apoderado legal.</w:t>
      </w:r>
    </w:p>
    <w:p w14:paraId="69654933" w14:textId="77777777" w:rsidR="00E700A7" w:rsidRPr="00D47EE7" w:rsidRDefault="00E700A7" w:rsidP="00E700A7">
      <w:pPr>
        <w:tabs>
          <w:tab w:val="left" w:pos="567"/>
        </w:tabs>
        <w:ind w:left="420" w:hanging="420"/>
        <w:jc w:val="both"/>
        <w:rPr>
          <w:rFonts w:ascii="Century Gothic" w:hAnsi="Century Gothic"/>
          <w:sz w:val="20"/>
          <w:szCs w:val="20"/>
        </w:rPr>
      </w:pPr>
    </w:p>
    <w:p w14:paraId="6DB627F6" w14:textId="77777777" w:rsidR="00E700A7" w:rsidRPr="00D47EE7" w:rsidRDefault="00E700A7" w:rsidP="00E700A7">
      <w:pPr>
        <w:tabs>
          <w:tab w:val="left" w:pos="0"/>
        </w:tabs>
        <w:jc w:val="both"/>
        <w:rPr>
          <w:rFonts w:ascii="Century Gothic" w:hAnsi="Century Gothic"/>
          <w:sz w:val="20"/>
          <w:szCs w:val="20"/>
        </w:rPr>
      </w:pPr>
      <w:r w:rsidRPr="00D47EE7">
        <w:rPr>
          <w:rFonts w:ascii="Century Gothic" w:hAnsi="Century Gothic"/>
          <w:sz w:val="20"/>
          <w:szCs w:val="20"/>
        </w:rPr>
        <w:t xml:space="preserve">Una vez presentada la propuesta, no podrá ser retirada por ningún motivo. Los oferentes son los únicos responsables de que sus propuestas sean entregadas en tiempo y forma el día del acto de presentación y apertura de ofertas. </w:t>
      </w:r>
    </w:p>
    <w:p w14:paraId="002801AE" w14:textId="77777777" w:rsidR="00E700A7" w:rsidRPr="00D47EE7" w:rsidRDefault="00E700A7" w:rsidP="00E700A7">
      <w:pPr>
        <w:tabs>
          <w:tab w:val="left" w:pos="0"/>
        </w:tabs>
        <w:jc w:val="both"/>
        <w:rPr>
          <w:rFonts w:ascii="Century Gothic" w:hAnsi="Century Gothic"/>
          <w:sz w:val="20"/>
          <w:szCs w:val="20"/>
        </w:rPr>
      </w:pPr>
    </w:p>
    <w:p w14:paraId="19D526B0" w14:textId="77777777" w:rsidR="00DC1916" w:rsidRPr="00D47EE7" w:rsidRDefault="00E700A7" w:rsidP="00E700A7">
      <w:pPr>
        <w:tabs>
          <w:tab w:val="left" w:pos="0"/>
          <w:tab w:val="left" w:pos="993"/>
        </w:tabs>
        <w:jc w:val="both"/>
        <w:rPr>
          <w:rFonts w:ascii="Century Gothic" w:hAnsi="Century Gothic"/>
          <w:sz w:val="20"/>
          <w:szCs w:val="20"/>
        </w:rPr>
      </w:pPr>
      <w:r w:rsidRPr="00D47EE7">
        <w:rPr>
          <w:rFonts w:ascii="Century Gothic" w:hAnsi="Century Gothic"/>
          <w:sz w:val="20"/>
          <w:szCs w:val="20"/>
        </w:rPr>
        <w:t xml:space="preserve">No podrán participar las personas físicas o morales que hayan </w:t>
      </w:r>
      <w:r w:rsidR="00DC1916" w:rsidRPr="00D47EE7">
        <w:rPr>
          <w:rFonts w:ascii="Century Gothic" w:hAnsi="Century Gothic"/>
          <w:sz w:val="20"/>
          <w:szCs w:val="20"/>
        </w:rPr>
        <w:t xml:space="preserve">incurrido en algún incumplimiento de las obligaciones contraídas </w:t>
      </w:r>
      <w:r w:rsidRPr="00D47EE7">
        <w:rPr>
          <w:rFonts w:ascii="Century Gothic" w:hAnsi="Century Gothic"/>
          <w:sz w:val="20"/>
          <w:szCs w:val="20"/>
        </w:rPr>
        <w:t xml:space="preserve">con el Municipio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 dentro de los 3 tres años anteriores a la publicación de la presente</w:t>
      </w:r>
      <w:r w:rsidR="00DC1916" w:rsidRPr="00D47EE7">
        <w:rPr>
          <w:rFonts w:ascii="Century Gothic" w:hAnsi="Century Gothic"/>
          <w:sz w:val="20"/>
          <w:szCs w:val="20"/>
        </w:rPr>
        <w:t>.</w:t>
      </w:r>
    </w:p>
    <w:p w14:paraId="2139E371" w14:textId="77777777" w:rsidR="00DC1916" w:rsidRPr="00D47EE7" w:rsidRDefault="00DC1916" w:rsidP="00E700A7">
      <w:pPr>
        <w:tabs>
          <w:tab w:val="left" w:pos="0"/>
          <w:tab w:val="left" w:pos="993"/>
        </w:tabs>
        <w:jc w:val="both"/>
        <w:rPr>
          <w:rFonts w:ascii="Century Gothic" w:hAnsi="Century Gothic"/>
          <w:sz w:val="20"/>
          <w:szCs w:val="20"/>
        </w:rPr>
      </w:pPr>
    </w:p>
    <w:p w14:paraId="44D71C0E" w14:textId="77777777" w:rsidR="00E700A7" w:rsidRPr="00D47EE7" w:rsidRDefault="00E700A7" w:rsidP="00E700A7">
      <w:pPr>
        <w:tabs>
          <w:tab w:val="left" w:pos="426"/>
          <w:tab w:val="left" w:pos="851"/>
        </w:tabs>
        <w:jc w:val="both"/>
        <w:rPr>
          <w:rFonts w:ascii="Century Gothic" w:hAnsi="Century Gothic"/>
          <w:b/>
          <w:sz w:val="20"/>
          <w:szCs w:val="20"/>
        </w:rPr>
      </w:pPr>
      <w:r w:rsidRPr="00D47EE7">
        <w:rPr>
          <w:rFonts w:ascii="Century Gothic" w:hAnsi="Century Gothic"/>
          <w:sz w:val="20"/>
          <w:szCs w:val="20"/>
        </w:rPr>
        <w:t>No podrán participar los servidores públicos que en cualquier forma intervengan en los actos relativos a la presente venta, ni sus cónyuges o parientes consanguíneos y por afinidad hasta el cuarto grado o civiles, o terceros con los que dichos servidores públicos tengan vínculos privados o de negocios.</w:t>
      </w:r>
    </w:p>
    <w:p w14:paraId="0B5C255F" w14:textId="77777777" w:rsidR="00E700A7" w:rsidRPr="00D47EE7" w:rsidRDefault="00E700A7" w:rsidP="00E700A7">
      <w:pPr>
        <w:tabs>
          <w:tab w:val="left" w:pos="426"/>
          <w:tab w:val="left" w:pos="851"/>
        </w:tabs>
        <w:jc w:val="both"/>
        <w:rPr>
          <w:rFonts w:ascii="Century Gothic" w:hAnsi="Century Gothic"/>
          <w:b/>
          <w:sz w:val="20"/>
          <w:szCs w:val="20"/>
        </w:rPr>
      </w:pPr>
    </w:p>
    <w:p w14:paraId="691270A5" w14:textId="77777777" w:rsidR="00E700A7" w:rsidRPr="00D47EE7" w:rsidRDefault="00E700A7" w:rsidP="00E700A7">
      <w:pPr>
        <w:tabs>
          <w:tab w:val="left" w:pos="426"/>
          <w:tab w:val="left" w:pos="851"/>
        </w:tabs>
        <w:jc w:val="both"/>
        <w:rPr>
          <w:rFonts w:ascii="Century Gothic" w:hAnsi="Century Gothic"/>
          <w:sz w:val="20"/>
          <w:szCs w:val="20"/>
        </w:rPr>
      </w:pPr>
      <w:r w:rsidRPr="00D47EE7">
        <w:rPr>
          <w:rFonts w:ascii="Century Gothic" w:hAnsi="Century Gothic"/>
          <w:b/>
          <w:sz w:val="20"/>
          <w:szCs w:val="20"/>
        </w:rPr>
        <w:t>V</w:t>
      </w:r>
      <w:r w:rsidRPr="00D47EE7">
        <w:rPr>
          <w:rFonts w:ascii="Century Gothic" w:hAnsi="Century Gothic"/>
          <w:sz w:val="20"/>
          <w:szCs w:val="20"/>
        </w:rPr>
        <w:t>.</w:t>
      </w:r>
      <w:r w:rsidRPr="00D47EE7">
        <w:rPr>
          <w:rFonts w:ascii="Century Gothic" w:hAnsi="Century Gothic"/>
          <w:sz w:val="20"/>
          <w:szCs w:val="20"/>
        </w:rPr>
        <w:tab/>
      </w:r>
      <w:r w:rsidRPr="00D47EE7">
        <w:rPr>
          <w:rFonts w:ascii="Century Gothic" w:hAnsi="Century Gothic"/>
          <w:b/>
          <w:sz w:val="20"/>
          <w:szCs w:val="20"/>
        </w:rPr>
        <w:t>Integración de la comisión para el desahogo del proceso de venta</w:t>
      </w:r>
      <w:r w:rsidRPr="00D47EE7">
        <w:rPr>
          <w:rFonts w:ascii="Century Gothic" w:hAnsi="Century Gothic"/>
          <w:sz w:val="20"/>
          <w:szCs w:val="20"/>
        </w:rPr>
        <w:t>.</w:t>
      </w:r>
    </w:p>
    <w:p w14:paraId="0378608F" w14:textId="77777777" w:rsidR="00E700A7" w:rsidRPr="00D47EE7" w:rsidRDefault="00E700A7" w:rsidP="00E700A7">
      <w:pPr>
        <w:tabs>
          <w:tab w:val="left" w:pos="426"/>
        </w:tabs>
        <w:jc w:val="both"/>
        <w:rPr>
          <w:rFonts w:ascii="Century Gothic" w:hAnsi="Century Gothic"/>
          <w:sz w:val="20"/>
          <w:szCs w:val="20"/>
        </w:rPr>
      </w:pPr>
      <w:r w:rsidRPr="00D47EE7">
        <w:rPr>
          <w:rFonts w:ascii="Century Gothic" w:hAnsi="Century Gothic"/>
          <w:sz w:val="20"/>
          <w:szCs w:val="20"/>
        </w:rPr>
        <w:t>5.1</w:t>
      </w:r>
      <w:r w:rsidRPr="00D47EE7">
        <w:rPr>
          <w:rFonts w:ascii="Century Gothic" w:hAnsi="Century Gothic"/>
          <w:sz w:val="20"/>
          <w:szCs w:val="20"/>
        </w:rPr>
        <w:tab/>
        <w:t>La comisión para el desahogo del proceso de venta, se integrará por:</w:t>
      </w:r>
    </w:p>
    <w:p w14:paraId="3C1CEFAB" w14:textId="77777777" w:rsidR="00E700A7" w:rsidRPr="00D47EE7" w:rsidRDefault="00E700A7" w:rsidP="00E700A7">
      <w:pPr>
        <w:tabs>
          <w:tab w:val="left" w:pos="284"/>
        </w:tabs>
        <w:jc w:val="both"/>
        <w:rPr>
          <w:rFonts w:ascii="Century Gothic" w:hAnsi="Century Gothic"/>
          <w:sz w:val="20"/>
          <w:szCs w:val="20"/>
        </w:rPr>
      </w:pPr>
      <w:r w:rsidRPr="00D47EE7">
        <w:rPr>
          <w:rFonts w:ascii="Century Gothic" w:hAnsi="Century Gothic"/>
          <w:sz w:val="20"/>
          <w:szCs w:val="20"/>
        </w:rPr>
        <w:t>a)</w:t>
      </w:r>
      <w:r w:rsidRPr="00D47EE7">
        <w:rPr>
          <w:rFonts w:ascii="Century Gothic" w:hAnsi="Century Gothic"/>
          <w:sz w:val="20"/>
          <w:szCs w:val="20"/>
        </w:rPr>
        <w:tab/>
        <w:t>El titular de la Tesorería Municipal;</w:t>
      </w:r>
    </w:p>
    <w:p w14:paraId="3D2342EC" w14:textId="77777777" w:rsidR="00E700A7" w:rsidRPr="00D47EE7" w:rsidRDefault="00E700A7" w:rsidP="00E700A7">
      <w:pPr>
        <w:tabs>
          <w:tab w:val="left" w:pos="284"/>
        </w:tabs>
        <w:jc w:val="both"/>
        <w:rPr>
          <w:rFonts w:ascii="Century Gothic" w:hAnsi="Century Gothic"/>
          <w:sz w:val="20"/>
          <w:szCs w:val="20"/>
        </w:rPr>
      </w:pPr>
      <w:r w:rsidRPr="00D47EE7">
        <w:rPr>
          <w:rFonts w:ascii="Century Gothic" w:hAnsi="Century Gothic"/>
          <w:sz w:val="20"/>
          <w:szCs w:val="20"/>
        </w:rPr>
        <w:t>b)</w:t>
      </w:r>
      <w:r w:rsidRPr="00D47EE7">
        <w:rPr>
          <w:rFonts w:ascii="Century Gothic" w:hAnsi="Century Gothic"/>
          <w:sz w:val="20"/>
          <w:szCs w:val="20"/>
        </w:rPr>
        <w:tab/>
        <w:t>El titular de la Contraloría Municipal;</w:t>
      </w:r>
    </w:p>
    <w:p w14:paraId="0CCB1C5F" w14:textId="77777777" w:rsidR="00E700A7" w:rsidRPr="00D47EE7" w:rsidRDefault="00E700A7" w:rsidP="00E700A7">
      <w:pPr>
        <w:tabs>
          <w:tab w:val="left" w:pos="284"/>
        </w:tabs>
        <w:jc w:val="both"/>
        <w:rPr>
          <w:rFonts w:ascii="Century Gothic" w:hAnsi="Century Gothic"/>
          <w:sz w:val="20"/>
          <w:szCs w:val="20"/>
        </w:rPr>
      </w:pPr>
      <w:r w:rsidRPr="00D47EE7">
        <w:rPr>
          <w:rFonts w:ascii="Century Gothic" w:hAnsi="Century Gothic"/>
          <w:sz w:val="20"/>
          <w:szCs w:val="20"/>
        </w:rPr>
        <w:t>c)</w:t>
      </w:r>
      <w:r w:rsidRPr="00D47EE7">
        <w:rPr>
          <w:rFonts w:ascii="Century Gothic" w:hAnsi="Century Gothic"/>
          <w:sz w:val="20"/>
          <w:szCs w:val="20"/>
        </w:rPr>
        <w:tab/>
        <w:t xml:space="preserve">El titular de la Dirección Jurídica; y </w:t>
      </w:r>
    </w:p>
    <w:p w14:paraId="670C2AAC" w14:textId="77777777" w:rsidR="00E700A7" w:rsidRPr="00D47EE7" w:rsidRDefault="00E700A7" w:rsidP="00E700A7">
      <w:pPr>
        <w:tabs>
          <w:tab w:val="left" w:pos="284"/>
        </w:tabs>
        <w:jc w:val="both"/>
        <w:rPr>
          <w:rFonts w:ascii="Century Gothic" w:hAnsi="Century Gothic"/>
          <w:sz w:val="20"/>
          <w:szCs w:val="20"/>
        </w:rPr>
      </w:pPr>
      <w:r w:rsidRPr="00D47EE7">
        <w:rPr>
          <w:rFonts w:ascii="Century Gothic" w:hAnsi="Century Gothic"/>
          <w:sz w:val="20"/>
          <w:szCs w:val="20"/>
        </w:rPr>
        <w:t>d)</w:t>
      </w:r>
      <w:r w:rsidRPr="00D47EE7">
        <w:rPr>
          <w:rFonts w:ascii="Century Gothic" w:hAnsi="Century Gothic"/>
          <w:sz w:val="20"/>
          <w:szCs w:val="20"/>
        </w:rPr>
        <w:tab/>
        <w:t>El titular de la Dirección de Control Patrimonial.</w:t>
      </w:r>
    </w:p>
    <w:p w14:paraId="58CDF13C" w14:textId="77777777" w:rsidR="00E700A7" w:rsidRPr="00D47EE7" w:rsidRDefault="00E700A7" w:rsidP="00E700A7">
      <w:pPr>
        <w:jc w:val="both"/>
        <w:rPr>
          <w:rFonts w:ascii="Century Gothic" w:hAnsi="Century Gothic"/>
          <w:sz w:val="20"/>
          <w:szCs w:val="20"/>
        </w:rPr>
      </w:pPr>
    </w:p>
    <w:p w14:paraId="6FAC6216" w14:textId="77777777" w:rsidR="00E700A7" w:rsidRPr="00D47EE7" w:rsidRDefault="00E700A7" w:rsidP="00E700A7">
      <w:pPr>
        <w:jc w:val="both"/>
        <w:rPr>
          <w:rFonts w:ascii="Century Gothic" w:hAnsi="Century Gothic"/>
          <w:sz w:val="20"/>
          <w:szCs w:val="20"/>
        </w:rPr>
      </w:pPr>
      <w:r w:rsidRPr="00D47EE7">
        <w:rPr>
          <w:rFonts w:ascii="Century Gothic" w:hAnsi="Century Gothic"/>
          <w:sz w:val="20"/>
          <w:szCs w:val="20"/>
        </w:rPr>
        <w:t xml:space="preserve">En lo subsecuente y para los efectos del desahogo del proceso de venta hasta su total conclusión, “La Comisión”. </w:t>
      </w:r>
    </w:p>
    <w:p w14:paraId="433BD749" w14:textId="77777777" w:rsidR="00E700A7" w:rsidRPr="00D47EE7" w:rsidRDefault="00E700A7" w:rsidP="00E700A7">
      <w:pPr>
        <w:tabs>
          <w:tab w:val="left" w:pos="426"/>
        </w:tabs>
        <w:ind w:left="420" w:hanging="420"/>
        <w:jc w:val="both"/>
        <w:rPr>
          <w:rFonts w:ascii="Century Gothic" w:hAnsi="Century Gothic"/>
          <w:b/>
          <w:sz w:val="20"/>
          <w:szCs w:val="20"/>
        </w:rPr>
      </w:pPr>
    </w:p>
    <w:p w14:paraId="69BED792" w14:textId="77777777" w:rsidR="00E700A7" w:rsidRPr="00D47EE7" w:rsidRDefault="00E700A7" w:rsidP="00E700A7">
      <w:pPr>
        <w:tabs>
          <w:tab w:val="left" w:pos="426"/>
        </w:tabs>
        <w:ind w:left="420" w:hanging="420"/>
        <w:jc w:val="both"/>
        <w:rPr>
          <w:rFonts w:ascii="Century Gothic" w:hAnsi="Century Gothic"/>
          <w:sz w:val="20"/>
          <w:szCs w:val="20"/>
        </w:rPr>
      </w:pPr>
      <w:r w:rsidRPr="00D47EE7">
        <w:rPr>
          <w:rFonts w:ascii="Century Gothic" w:hAnsi="Century Gothic"/>
          <w:b/>
          <w:sz w:val="20"/>
          <w:szCs w:val="20"/>
        </w:rPr>
        <w:t>VI. Registro de ofertantes</w:t>
      </w:r>
      <w:r w:rsidRPr="00D47EE7">
        <w:rPr>
          <w:rFonts w:ascii="Century Gothic" w:hAnsi="Century Gothic"/>
          <w:sz w:val="20"/>
          <w:szCs w:val="20"/>
        </w:rPr>
        <w:t>.</w:t>
      </w:r>
    </w:p>
    <w:p w14:paraId="5960E3E3" w14:textId="046A44E0" w:rsidR="004D1C88" w:rsidRPr="00D47EE7" w:rsidRDefault="004D1C88"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6.1</w:t>
      </w:r>
      <w:r w:rsidRPr="00D47EE7">
        <w:rPr>
          <w:rFonts w:ascii="Century Gothic" w:hAnsi="Century Gothic"/>
          <w:sz w:val="20"/>
          <w:szCs w:val="20"/>
        </w:rPr>
        <w:tab/>
        <w:t xml:space="preserve">El registro de ofertantes para participar en la venta </w:t>
      </w:r>
      <w:r w:rsidR="00087EF3" w:rsidRPr="00D47EE7">
        <w:rPr>
          <w:rFonts w:ascii="Century Gothic" w:hAnsi="Century Gothic"/>
          <w:sz w:val="20"/>
          <w:szCs w:val="20"/>
        </w:rPr>
        <w:t>será de manera presencial y se</w:t>
      </w:r>
      <w:r w:rsidRPr="00D47EE7">
        <w:rPr>
          <w:rFonts w:ascii="Century Gothic" w:hAnsi="Century Gothic"/>
          <w:sz w:val="20"/>
          <w:szCs w:val="20"/>
        </w:rPr>
        <w:t xml:space="preserve"> efectuará el m</w:t>
      </w:r>
      <w:r w:rsidR="0012594D" w:rsidRPr="00D47EE7">
        <w:rPr>
          <w:rFonts w:ascii="Century Gothic" w:hAnsi="Century Gothic"/>
          <w:sz w:val="20"/>
          <w:szCs w:val="20"/>
        </w:rPr>
        <w:t xml:space="preserve">artes </w:t>
      </w:r>
      <w:r w:rsidR="00C73B0E" w:rsidRPr="00D47EE7">
        <w:rPr>
          <w:rFonts w:ascii="Century Gothic" w:hAnsi="Century Gothic"/>
          <w:sz w:val="20"/>
          <w:szCs w:val="20"/>
        </w:rPr>
        <w:t>2</w:t>
      </w:r>
      <w:r w:rsidR="0012594D" w:rsidRPr="00D47EE7">
        <w:rPr>
          <w:rFonts w:ascii="Century Gothic" w:hAnsi="Century Gothic"/>
          <w:sz w:val="20"/>
          <w:szCs w:val="20"/>
        </w:rPr>
        <w:t>4</w:t>
      </w:r>
      <w:r w:rsidRPr="00D47EE7">
        <w:rPr>
          <w:rFonts w:ascii="Century Gothic" w:hAnsi="Century Gothic"/>
          <w:sz w:val="20"/>
          <w:szCs w:val="20"/>
        </w:rPr>
        <w:t xml:space="preserve"> de agosto de 2021, en un horario de 9:00 a 9:45 </w:t>
      </w:r>
      <w:r w:rsidR="009D3C3A" w:rsidRPr="00D47EE7">
        <w:rPr>
          <w:rFonts w:ascii="Century Gothic" w:hAnsi="Century Gothic"/>
          <w:sz w:val="20"/>
          <w:szCs w:val="20"/>
        </w:rPr>
        <w:t xml:space="preserve">horas </w:t>
      </w:r>
      <w:r w:rsidRPr="00D47EE7">
        <w:rPr>
          <w:rFonts w:ascii="Century Gothic" w:hAnsi="Century Gothic"/>
          <w:sz w:val="20"/>
          <w:szCs w:val="20"/>
        </w:rPr>
        <w:t>en el salón de eventos “</w:t>
      </w:r>
      <w:proofErr w:type="spellStart"/>
      <w:r w:rsidRPr="00D47EE7">
        <w:rPr>
          <w:rFonts w:ascii="Century Gothic" w:hAnsi="Century Gothic"/>
          <w:sz w:val="20"/>
          <w:szCs w:val="20"/>
        </w:rPr>
        <w:t>Hermilo</w:t>
      </w:r>
      <w:proofErr w:type="spellEnd"/>
      <w:r w:rsidRPr="00D47EE7">
        <w:rPr>
          <w:rFonts w:ascii="Century Gothic" w:hAnsi="Century Gothic"/>
          <w:sz w:val="20"/>
          <w:szCs w:val="20"/>
        </w:rPr>
        <w:t xml:space="preserve"> Novelo” ubicado en calle Democracia número 103, (interior de la Casa de la Cultura), zona centro de esta ciudad de Celaya, Guanajuato.</w:t>
      </w:r>
    </w:p>
    <w:p w14:paraId="75137239" w14:textId="02B71CA2" w:rsidR="004D1C88" w:rsidRPr="00D47EE7" w:rsidRDefault="004D1C88" w:rsidP="00E700A7">
      <w:pPr>
        <w:tabs>
          <w:tab w:val="left" w:pos="0"/>
          <w:tab w:val="left" w:pos="426"/>
        </w:tabs>
        <w:jc w:val="both"/>
        <w:rPr>
          <w:rFonts w:ascii="Century Gothic" w:hAnsi="Century Gothic"/>
          <w:sz w:val="20"/>
          <w:szCs w:val="20"/>
        </w:rPr>
      </w:pPr>
    </w:p>
    <w:p w14:paraId="0611F118" w14:textId="76F0854A" w:rsidR="00E700A7" w:rsidRPr="00D47EE7" w:rsidRDefault="00E700A7" w:rsidP="00E700A7">
      <w:pPr>
        <w:tabs>
          <w:tab w:val="left" w:pos="426"/>
        </w:tabs>
        <w:ind w:left="420" w:hanging="420"/>
        <w:jc w:val="both"/>
        <w:rPr>
          <w:rFonts w:ascii="Century Gothic" w:hAnsi="Century Gothic"/>
          <w:sz w:val="20"/>
          <w:szCs w:val="20"/>
        </w:rPr>
      </w:pPr>
      <w:r w:rsidRPr="00D47EE7">
        <w:rPr>
          <w:rFonts w:ascii="Century Gothic" w:hAnsi="Century Gothic"/>
          <w:b/>
          <w:sz w:val="20"/>
          <w:szCs w:val="20"/>
        </w:rPr>
        <w:t>VII.</w:t>
      </w:r>
      <w:r w:rsidRPr="00D47EE7">
        <w:rPr>
          <w:rFonts w:ascii="Century Gothic" w:hAnsi="Century Gothic"/>
          <w:b/>
          <w:sz w:val="20"/>
          <w:szCs w:val="20"/>
        </w:rPr>
        <w:tab/>
        <w:t xml:space="preserve">Lugar, fecha y hora del acto de </w:t>
      </w:r>
      <w:r w:rsidR="0027246B" w:rsidRPr="00D47EE7">
        <w:rPr>
          <w:rFonts w:ascii="Century Gothic" w:hAnsi="Century Gothic"/>
          <w:b/>
          <w:sz w:val="20"/>
          <w:szCs w:val="20"/>
        </w:rPr>
        <w:t>recepción</w:t>
      </w:r>
      <w:r w:rsidR="00F648DF">
        <w:rPr>
          <w:rFonts w:ascii="Century Gothic" w:hAnsi="Century Gothic"/>
          <w:b/>
          <w:sz w:val="20"/>
          <w:szCs w:val="20"/>
        </w:rPr>
        <w:t xml:space="preserve">, </w:t>
      </w:r>
      <w:r w:rsidRPr="00D47EE7">
        <w:rPr>
          <w:rFonts w:ascii="Century Gothic" w:hAnsi="Century Gothic"/>
          <w:b/>
          <w:sz w:val="20"/>
          <w:szCs w:val="20"/>
        </w:rPr>
        <w:t>apertura de ofertas</w:t>
      </w:r>
      <w:r w:rsidR="00F648DF">
        <w:rPr>
          <w:rFonts w:ascii="Century Gothic" w:hAnsi="Century Gothic"/>
          <w:b/>
          <w:sz w:val="20"/>
          <w:szCs w:val="20"/>
        </w:rPr>
        <w:t xml:space="preserve"> y fallo</w:t>
      </w:r>
      <w:r w:rsidRPr="00D47EE7">
        <w:rPr>
          <w:rFonts w:ascii="Century Gothic" w:hAnsi="Century Gothic"/>
          <w:sz w:val="20"/>
          <w:szCs w:val="20"/>
        </w:rPr>
        <w:t>.</w:t>
      </w:r>
    </w:p>
    <w:p w14:paraId="795AC6E9" w14:textId="74EAE28C"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7.1</w:t>
      </w:r>
      <w:r w:rsidRPr="00D47EE7">
        <w:rPr>
          <w:rFonts w:ascii="Century Gothic" w:hAnsi="Century Gothic"/>
          <w:sz w:val="20"/>
          <w:szCs w:val="20"/>
        </w:rPr>
        <w:tab/>
        <w:t xml:space="preserve">La </w:t>
      </w:r>
      <w:r w:rsidR="004D1C88" w:rsidRPr="00D47EE7">
        <w:rPr>
          <w:rFonts w:ascii="Century Gothic" w:hAnsi="Century Gothic"/>
          <w:sz w:val="20"/>
          <w:szCs w:val="20"/>
        </w:rPr>
        <w:t>recepción</w:t>
      </w:r>
      <w:r w:rsidR="00095E58">
        <w:rPr>
          <w:rFonts w:ascii="Century Gothic" w:hAnsi="Century Gothic"/>
          <w:sz w:val="20"/>
          <w:szCs w:val="20"/>
        </w:rPr>
        <w:t xml:space="preserve">, </w:t>
      </w:r>
      <w:r w:rsidRPr="00D47EE7">
        <w:rPr>
          <w:rFonts w:ascii="Century Gothic" w:hAnsi="Century Gothic"/>
          <w:sz w:val="20"/>
          <w:szCs w:val="20"/>
        </w:rPr>
        <w:t xml:space="preserve">apertura de ofertas </w:t>
      </w:r>
      <w:r w:rsidR="00095E58">
        <w:rPr>
          <w:rFonts w:ascii="Century Gothic" w:hAnsi="Century Gothic"/>
          <w:sz w:val="20"/>
          <w:szCs w:val="20"/>
        </w:rPr>
        <w:t xml:space="preserve">y fallo </w:t>
      </w:r>
      <w:r w:rsidRPr="00D47EE7">
        <w:rPr>
          <w:rFonts w:ascii="Century Gothic" w:hAnsi="Century Gothic"/>
          <w:sz w:val="20"/>
          <w:szCs w:val="20"/>
        </w:rPr>
        <w:t xml:space="preserve">se llevará a cabo </w:t>
      </w:r>
      <w:r w:rsidR="00F46247" w:rsidRPr="00D47EE7">
        <w:rPr>
          <w:rFonts w:ascii="Century Gothic" w:hAnsi="Century Gothic"/>
          <w:sz w:val="20"/>
          <w:szCs w:val="20"/>
        </w:rPr>
        <w:t xml:space="preserve">de manera presencial </w:t>
      </w:r>
      <w:r w:rsidRPr="00D47EE7">
        <w:rPr>
          <w:rFonts w:ascii="Century Gothic" w:hAnsi="Century Gothic"/>
          <w:sz w:val="20"/>
          <w:szCs w:val="20"/>
        </w:rPr>
        <w:t>en el mismo lugar señalado para el registro</w:t>
      </w:r>
      <w:r w:rsidR="002730F9" w:rsidRPr="00D47EE7">
        <w:rPr>
          <w:rFonts w:ascii="Century Gothic" w:hAnsi="Century Gothic"/>
          <w:sz w:val="20"/>
          <w:szCs w:val="20"/>
        </w:rPr>
        <w:t xml:space="preserve"> de ofertantes</w:t>
      </w:r>
      <w:r w:rsidRPr="00D47EE7">
        <w:rPr>
          <w:rFonts w:ascii="Century Gothic" w:hAnsi="Century Gothic"/>
          <w:sz w:val="20"/>
          <w:szCs w:val="20"/>
        </w:rPr>
        <w:t>, el m</w:t>
      </w:r>
      <w:r w:rsidR="0012594D" w:rsidRPr="00D47EE7">
        <w:rPr>
          <w:rFonts w:ascii="Century Gothic" w:hAnsi="Century Gothic"/>
          <w:sz w:val="20"/>
          <w:szCs w:val="20"/>
        </w:rPr>
        <w:t xml:space="preserve">artes </w:t>
      </w:r>
      <w:r w:rsidR="00C73B0E" w:rsidRPr="00D47EE7">
        <w:rPr>
          <w:rFonts w:ascii="Century Gothic" w:hAnsi="Century Gothic"/>
          <w:sz w:val="20"/>
          <w:szCs w:val="20"/>
        </w:rPr>
        <w:t>2</w:t>
      </w:r>
      <w:r w:rsidR="0012594D" w:rsidRPr="00D47EE7">
        <w:rPr>
          <w:rFonts w:ascii="Century Gothic" w:hAnsi="Century Gothic"/>
          <w:sz w:val="20"/>
          <w:szCs w:val="20"/>
        </w:rPr>
        <w:t>4</w:t>
      </w:r>
      <w:r w:rsidR="00C73B0E" w:rsidRPr="00D47EE7">
        <w:rPr>
          <w:rFonts w:ascii="Century Gothic" w:hAnsi="Century Gothic"/>
          <w:sz w:val="20"/>
          <w:szCs w:val="20"/>
        </w:rPr>
        <w:t xml:space="preserve"> </w:t>
      </w:r>
      <w:r w:rsidRPr="00D47EE7">
        <w:rPr>
          <w:rFonts w:ascii="Century Gothic" w:hAnsi="Century Gothic"/>
          <w:sz w:val="20"/>
          <w:szCs w:val="20"/>
        </w:rPr>
        <w:t>de agosto de 2021 e iniciará a las 1</w:t>
      </w:r>
      <w:r w:rsidR="00F46247" w:rsidRPr="00D47EE7">
        <w:rPr>
          <w:rFonts w:ascii="Century Gothic" w:hAnsi="Century Gothic"/>
          <w:sz w:val="20"/>
          <w:szCs w:val="20"/>
        </w:rPr>
        <w:t>0</w:t>
      </w:r>
      <w:r w:rsidRPr="00D47EE7">
        <w:rPr>
          <w:rFonts w:ascii="Century Gothic" w:hAnsi="Century Gothic"/>
          <w:sz w:val="20"/>
          <w:szCs w:val="20"/>
        </w:rPr>
        <w:t xml:space="preserve">:00 </w:t>
      </w:r>
      <w:r w:rsidR="00F46247" w:rsidRPr="00D47EE7">
        <w:rPr>
          <w:rFonts w:ascii="Century Gothic" w:hAnsi="Century Gothic"/>
          <w:sz w:val="20"/>
          <w:szCs w:val="20"/>
        </w:rPr>
        <w:t>diez</w:t>
      </w:r>
      <w:r w:rsidRPr="00D47EE7">
        <w:rPr>
          <w:rFonts w:ascii="Century Gothic" w:hAnsi="Century Gothic"/>
          <w:sz w:val="20"/>
          <w:szCs w:val="20"/>
        </w:rPr>
        <w:t xml:space="preserve"> horas.</w:t>
      </w:r>
      <w:bookmarkStart w:id="0" w:name="_GoBack"/>
      <w:bookmarkEnd w:id="0"/>
    </w:p>
    <w:p w14:paraId="2A8DC465" w14:textId="77777777" w:rsidR="00E700A7" w:rsidRPr="00D47EE7" w:rsidRDefault="00E700A7" w:rsidP="00E700A7">
      <w:pPr>
        <w:tabs>
          <w:tab w:val="left" w:pos="0"/>
          <w:tab w:val="left" w:pos="426"/>
        </w:tabs>
        <w:jc w:val="both"/>
        <w:rPr>
          <w:rFonts w:ascii="Century Gothic" w:hAnsi="Century Gothic"/>
          <w:sz w:val="20"/>
          <w:szCs w:val="20"/>
        </w:rPr>
      </w:pPr>
    </w:p>
    <w:p w14:paraId="1BB411F6" w14:textId="77777777"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7.2</w:t>
      </w:r>
      <w:r w:rsidRPr="00D47EE7">
        <w:rPr>
          <w:rFonts w:ascii="Century Gothic" w:hAnsi="Century Gothic"/>
          <w:sz w:val="20"/>
          <w:szCs w:val="20"/>
        </w:rPr>
        <w:tab/>
        <w:t>No se acepta la participación de ofertantes a través de medios electrónicos o informáticos.</w:t>
      </w:r>
    </w:p>
    <w:p w14:paraId="64867591" w14:textId="77777777" w:rsidR="002224AD" w:rsidRPr="00D47EE7" w:rsidRDefault="002224AD" w:rsidP="00E700A7">
      <w:pPr>
        <w:tabs>
          <w:tab w:val="left" w:pos="426"/>
        </w:tabs>
        <w:jc w:val="both"/>
        <w:rPr>
          <w:rFonts w:ascii="Century Gothic" w:hAnsi="Century Gothic"/>
          <w:b/>
          <w:sz w:val="20"/>
          <w:szCs w:val="20"/>
        </w:rPr>
      </w:pPr>
    </w:p>
    <w:p w14:paraId="429F672E" w14:textId="3835017A" w:rsidR="00E700A7" w:rsidRPr="00D47EE7" w:rsidRDefault="00E700A7" w:rsidP="00E700A7">
      <w:pPr>
        <w:tabs>
          <w:tab w:val="left" w:pos="426"/>
        </w:tabs>
        <w:jc w:val="both"/>
        <w:rPr>
          <w:rFonts w:ascii="Century Gothic" w:hAnsi="Century Gothic"/>
          <w:sz w:val="20"/>
          <w:szCs w:val="20"/>
        </w:rPr>
      </w:pPr>
      <w:r w:rsidRPr="00D47EE7">
        <w:rPr>
          <w:rFonts w:ascii="Century Gothic" w:hAnsi="Century Gothic"/>
          <w:b/>
          <w:sz w:val="20"/>
          <w:szCs w:val="20"/>
        </w:rPr>
        <w:lastRenderedPageBreak/>
        <w:t>VIII.</w:t>
      </w:r>
      <w:r w:rsidRPr="00D47EE7">
        <w:rPr>
          <w:rFonts w:ascii="Century Gothic" w:hAnsi="Century Gothic"/>
          <w:b/>
          <w:sz w:val="20"/>
          <w:szCs w:val="20"/>
        </w:rPr>
        <w:tab/>
        <w:t>Procedimiento de apertura de ofertas y fallo</w:t>
      </w:r>
      <w:r w:rsidRPr="00D47EE7">
        <w:rPr>
          <w:rFonts w:ascii="Century Gothic" w:hAnsi="Century Gothic"/>
          <w:sz w:val="20"/>
          <w:szCs w:val="20"/>
        </w:rPr>
        <w:t>.</w:t>
      </w:r>
    </w:p>
    <w:p w14:paraId="78462114" w14:textId="77777777"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8.1</w:t>
      </w:r>
      <w:r w:rsidRPr="00D47EE7">
        <w:rPr>
          <w:rFonts w:ascii="Century Gothic" w:hAnsi="Century Gothic"/>
          <w:sz w:val="20"/>
          <w:szCs w:val="20"/>
        </w:rPr>
        <w:tab/>
        <w:t>El acto de apertura de ofertas será presidido por el titular de la Tesorería Municipal. La comisión será la única autoridad facultada para aceptar o desechar cualquier propuesta de las que se presenten en los términos de las presentes bases, y se llevará a cabo conforme a lo siguiente:</w:t>
      </w:r>
    </w:p>
    <w:p w14:paraId="31941288" w14:textId="77777777" w:rsidR="004716BE" w:rsidRPr="00D47EE7" w:rsidRDefault="004716BE" w:rsidP="00E700A7">
      <w:pPr>
        <w:tabs>
          <w:tab w:val="left" w:pos="426"/>
        </w:tabs>
        <w:ind w:left="420" w:hanging="420"/>
        <w:jc w:val="both"/>
        <w:rPr>
          <w:rFonts w:ascii="Century Gothic" w:hAnsi="Century Gothic"/>
          <w:b/>
          <w:sz w:val="20"/>
          <w:szCs w:val="20"/>
        </w:rPr>
      </w:pPr>
    </w:p>
    <w:p w14:paraId="68AA9F89" w14:textId="7825997B" w:rsidR="00980EAB"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8.1.1</w:t>
      </w:r>
      <w:r w:rsidRPr="00D47EE7">
        <w:rPr>
          <w:rFonts w:ascii="Century Gothic" w:hAnsi="Century Gothic"/>
          <w:sz w:val="20"/>
          <w:szCs w:val="20"/>
        </w:rPr>
        <w:tab/>
        <w:t xml:space="preserve">Iniciará en el lugar, día y hora estipulados. </w:t>
      </w:r>
      <w:r w:rsidR="004716BA" w:rsidRPr="00D47EE7">
        <w:rPr>
          <w:rFonts w:ascii="Century Gothic" w:hAnsi="Century Gothic"/>
          <w:sz w:val="20"/>
          <w:szCs w:val="20"/>
        </w:rPr>
        <w:t xml:space="preserve">La Tesorera Municipal </w:t>
      </w:r>
      <w:r w:rsidR="004716BE" w:rsidRPr="00D47EE7">
        <w:rPr>
          <w:rFonts w:ascii="Century Gothic" w:hAnsi="Century Gothic"/>
          <w:sz w:val="20"/>
          <w:szCs w:val="20"/>
        </w:rPr>
        <w:t xml:space="preserve">procederá a </w:t>
      </w:r>
      <w:r w:rsidR="004716BA" w:rsidRPr="00D47EE7">
        <w:rPr>
          <w:rFonts w:ascii="Century Gothic" w:hAnsi="Century Gothic"/>
          <w:sz w:val="20"/>
          <w:szCs w:val="20"/>
        </w:rPr>
        <w:t xml:space="preserve">abrir cada uno de los sobres </w:t>
      </w:r>
      <w:r w:rsidR="00880677" w:rsidRPr="00D47EE7">
        <w:rPr>
          <w:rFonts w:ascii="Century Gothic" w:hAnsi="Century Gothic"/>
          <w:sz w:val="20"/>
          <w:szCs w:val="20"/>
        </w:rPr>
        <w:t xml:space="preserve">que </w:t>
      </w:r>
      <w:r w:rsidR="004716BA" w:rsidRPr="00D47EE7">
        <w:rPr>
          <w:rFonts w:ascii="Century Gothic" w:hAnsi="Century Gothic"/>
          <w:sz w:val="20"/>
          <w:szCs w:val="20"/>
        </w:rPr>
        <w:t xml:space="preserve">contengan los documentos </w:t>
      </w:r>
      <w:r w:rsidRPr="00D47EE7">
        <w:rPr>
          <w:rFonts w:ascii="Century Gothic" w:hAnsi="Century Gothic"/>
          <w:sz w:val="20"/>
          <w:szCs w:val="20"/>
        </w:rPr>
        <w:t xml:space="preserve">solicitados en los </w:t>
      </w:r>
      <w:r w:rsidR="006D6BDD" w:rsidRPr="00D47EE7">
        <w:rPr>
          <w:rFonts w:ascii="Century Gothic" w:hAnsi="Century Gothic"/>
          <w:sz w:val="20"/>
          <w:szCs w:val="20"/>
        </w:rPr>
        <w:t xml:space="preserve">numerales </w:t>
      </w:r>
      <w:r w:rsidRPr="00D47EE7">
        <w:rPr>
          <w:rFonts w:ascii="Century Gothic" w:hAnsi="Century Gothic"/>
          <w:sz w:val="20"/>
          <w:szCs w:val="20"/>
        </w:rPr>
        <w:t>4.1.1 y 4.1.2</w:t>
      </w:r>
      <w:r w:rsidR="003F622D" w:rsidRPr="00D47EE7">
        <w:rPr>
          <w:rFonts w:ascii="Century Gothic" w:hAnsi="Century Gothic"/>
          <w:sz w:val="20"/>
          <w:szCs w:val="20"/>
        </w:rPr>
        <w:t xml:space="preserve"> de las presentes bases</w:t>
      </w:r>
      <w:r w:rsidRPr="00D47EE7">
        <w:rPr>
          <w:rFonts w:ascii="Century Gothic" w:hAnsi="Century Gothic"/>
          <w:sz w:val="20"/>
          <w:szCs w:val="20"/>
        </w:rPr>
        <w:t xml:space="preserve"> </w:t>
      </w:r>
      <w:r w:rsidR="004716BE" w:rsidRPr="00D47EE7">
        <w:rPr>
          <w:rFonts w:ascii="Century Gothic" w:hAnsi="Century Gothic"/>
          <w:sz w:val="20"/>
          <w:szCs w:val="20"/>
        </w:rPr>
        <w:t>y los entregará a los miembros de la Comisión para su revisión. L</w:t>
      </w:r>
      <w:r w:rsidRPr="00D47EE7">
        <w:rPr>
          <w:rFonts w:ascii="Century Gothic" w:hAnsi="Century Gothic"/>
          <w:sz w:val="20"/>
          <w:szCs w:val="20"/>
        </w:rPr>
        <w:t xml:space="preserve">os participantes que hayan cumplido con los requisitos pasaran a la apertura del sobre que </w:t>
      </w:r>
      <w:r w:rsidR="009930D7" w:rsidRPr="00D47EE7">
        <w:rPr>
          <w:rFonts w:ascii="Century Gothic" w:hAnsi="Century Gothic"/>
          <w:sz w:val="20"/>
          <w:szCs w:val="20"/>
        </w:rPr>
        <w:t>contiene la propuesta económica.</w:t>
      </w:r>
      <w:r w:rsidRPr="00D47EE7">
        <w:rPr>
          <w:rFonts w:ascii="Century Gothic" w:hAnsi="Century Gothic"/>
          <w:sz w:val="20"/>
          <w:szCs w:val="20"/>
        </w:rPr>
        <w:t xml:space="preserve"> </w:t>
      </w:r>
    </w:p>
    <w:p w14:paraId="30B13558" w14:textId="77777777" w:rsidR="00980EAB" w:rsidRPr="00D47EE7" w:rsidRDefault="00980EAB" w:rsidP="00E700A7">
      <w:pPr>
        <w:tabs>
          <w:tab w:val="left" w:pos="0"/>
          <w:tab w:val="left" w:pos="567"/>
        </w:tabs>
        <w:jc w:val="both"/>
        <w:rPr>
          <w:rFonts w:ascii="Century Gothic" w:hAnsi="Century Gothic"/>
          <w:sz w:val="20"/>
          <w:szCs w:val="20"/>
        </w:rPr>
      </w:pPr>
    </w:p>
    <w:p w14:paraId="0ABDA0C8" w14:textId="77777777" w:rsidR="00980EAB" w:rsidRPr="00D47EE7" w:rsidRDefault="00980EAB"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 xml:space="preserve">8.1.2 </w:t>
      </w:r>
      <w:r w:rsidR="00931055" w:rsidRPr="00D47EE7">
        <w:rPr>
          <w:rFonts w:ascii="Century Gothic" w:hAnsi="Century Gothic"/>
          <w:sz w:val="20"/>
          <w:szCs w:val="20"/>
        </w:rPr>
        <w:t>No se dará lectura a la propuesta económica de aquellos participantes que no entregaron todos los documentos o hayan omitido algún requisito, las que serán desechadas.</w:t>
      </w:r>
    </w:p>
    <w:p w14:paraId="4C90F791" w14:textId="77777777" w:rsidR="00980EAB" w:rsidRPr="00D47EE7" w:rsidRDefault="00980EAB" w:rsidP="00E700A7">
      <w:pPr>
        <w:tabs>
          <w:tab w:val="left" w:pos="0"/>
          <w:tab w:val="left" w:pos="567"/>
        </w:tabs>
        <w:jc w:val="both"/>
        <w:rPr>
          <w:rFonts w:ascii="Century Gothic" w:hAnsi="Century Gothic"/>
          <w:sz w:val="20"/>
          <w:szCs w:val="20"/>
        </w:rPr>
      </w:pPr>
    </w:p>
    <w:p w14:paraId="25B68803" w14:textId="09540B1F" w:rsidR="00E700A7" w:rsidRPr="00D47EE7" w:rsidRDefault="00980EAB"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8.1.3</w:t>
      </w:r>
      <w:r w:rsidR="00931055" w:rsidRPr="00D47EE7">
        <w:rPr>
          <w:rFonts w:ascii="Century Gothic" w:hAnsi="Century Gothic"/>
          <w:sz w:val="20"/>
          <w:szCs w:val="20"/>
        </w:rPr>
        <w:t xml:space="preserve"> Los sobres que contienen la propuesta económica </w:t>
      </w:r>
      <w:r w:rsidR="009930D7" w:rsidRPr="00D47EE7">
        <w:rPr>
          <w:rFonts w:ascii="Century Gothic" w:hAnsi="Century Gothic"/>
          <w:sz w:val="20"/>
          <w:szCs w:val="20"/>
        </w:rPr>
        <w:t xml:space="preserve">serán abiertos por la Tesorera Municipal y leerá </w:t>
      </w:r>
      <w:r w:rsidR="00E700A7" w:rsidRPr="00D47EE7">
        <w:rPr>
          <w:rFonts w:ascii="Century Gothic" w:hAnsi="Century Gothic"/>
          <w:sz w:val="20"/>
          <w:szCs w:val="20"/>
        </w:rPr>
        <w:t>en voz alta el nombre del participante y el importe de la propuesta presentada</w:t>
      </w:r>
      <w:r w:rsidR="009930D7" w:rsidRPr="00D47EE7">
        <w:rPr>
          <w:rFonts w:ascii="Century Gothic" w:hAnsi="Century Gothic"/>
          <w:sz w:val="20"/>
          <w:szCs w:val="20"/>
        </w:rPr>
        <w:t xml:space="preserve">, con estos datos se creará un cuadro comparativo. </w:t>
      </w:r>
      <w:r w:rsidR="00E700A7" w:rsidRPr="00D47EE7">
        <w:rPr>
          <w:rFonts w:ascii="Century Gothic" w:hAnsi="Century Gothic"/>
          <w:sz w:val="20"/>
          <w:szCs w:val="20"/>
        </w:rPr>
        <w:t xml:space="preserve">En caso de discrepancia entre la cantidad con letra y número, prevalecerá la primera. Se emitirá el fallo a favor de la mejor propuesta económica que haya cumplido con los requisitos solicitados. </w:t>
      </w:r>
    </w:p>
    <w:p w14:paraId="668CAC4F" w14:textId="77777777" w:rsidR="00E700A7" w:rsidRPr="00D47EE7" w:rsidRDefault="00E700A7" w:rsidP="00E700A7">
      <w:pPr>
        <w:tabs>
          <w:tab w:val="left" w:pos="0"/>
          <w:tab w:val="left" w:pos="567"/>
        </w:tabs>
        <w:jc w:val="both"/>
        <w:rPr>
          <w:rFonts w:ascii="Century Gothic" w:hAnsi="Century Gothic"/>
          <w:sz w:val="20"/>
          <w:szCs w:val="20"/>
        </w:rPr>
      </w:pPr>
    </w:p>
    <w:p w14:paraId="1128ACEF" w14:textId="1289ACFD" w:rsidR="00E700A7" w:rsidRPr="00D47EE7" w:rsidRDefault="00E700A7" w:rsidP="00E700A7">
      <w:pPr>
        <w:tabs>
          <w:tab w:val="left" w:pos="0"/>
          <w:tab w:val="left" w:pos="567"/>
          <w:tab w:val="left" w:pos="993"/>
        </w:tabs>
        <w:jc w:val="both"/>
        <w:rPr>
          <w:rFonts w:ascii="Century Gothic" w:hAnsi="Century Gothic"/>
          <w:sz w:val="20"/>
          <w:szCs w:val="20"/>
        </w:rPr>
      </w:pPr>
      <w:r w:rsidRPr="00D47EE7">
        <w:rPr>
          <w:rFonts w:ascii="Century Gothic" w:hAnsi="Century Gothic"/>
          <w:sz w:val="20"/>
          <w:szCs w:val="20"/>
        </w:rPr>
        <w:t>8.1.</w:t>
      </w:r>
      <w:r w:rsidR="007914D2" w:rsidRPr="00D47EE7">
        <w:rPr>
          <w:rFonts w:ascii="Century Gothic" w:hAnsi="Century Gothic"/>
          <w:sz w:val="20"/>
          <w:szCs w:val="20"/>
        </w:rPr>
        <w:t>4</w:t>
      </w:r>
      <w:r w:rsidRPr="00D47EE7">
        <w:rPr>
          <w:rFonts w:ascii="Century Gothic" w:hAnsi="Century Gothic"/>
          <w:sz w:val="20"/>
          <w:szCs w:val="20"/>
        </w:rPr>
        <w:tab/>
        <w:t>Si derivado de la lectura de las propuestas se obtuviera un empate entre dos o más ofertantes, se realizará la adjudicación del contrato a favor del participante que resulte ganador del sorteo manual por insaculación que se realice. El cual consistirá en depositar en una urna o recipiente transparente, las boletas con el nombre de cada participante empatado, acto seguido se extraerá en primer lugar la boleta del participante ganador y posteriormente las demás boletas de los participantes que resultaron empatados.</w:t>
      </w:r>
    </w:p>
    <w:p w14:paraId="607F0791" w14:textId="77777777" w:rsidR="00E700A7" w:rsidRPr="00D47EE7" w:rsidRDefault="00E700A7" w:rsidP="00E700A7">
      <w:pPr>
        <w:tabs>
          <w:tab w:val="left" w:pos="0"/>
          <w:tab w:val="left" w:pos="567"/>
          <w:tab w:val="left" w:pos="993"/>
        </w:tabs>
        <w:jc w:val="both"/>
        <w:rPr>
          <w:rFonts w:ascii="Century Gothic" w:hAnsi="Century Gothic"/>
          <w:sz w:val="20"/>
          <w:szCs w:val="20"/>
        </w:rPr>
      </w:pPr>
    </w:p>
    <w:p w14:paraId="04522F1B" w14:textId="6FE87B07" w:rsidR="00E700A7" w:rsidRPr="00D47EE7" w:rsidRDefault="007914D2" w:rsidP="00E700A7">
      <w:pPr>
        <w:tabs>
          <w:tab w:val="left" w:pos="0"/>
          <w:tab w:val="left" w:pos="567"/>
          <w:tab w:val="left" w:pos="993"/>
        </w:tabs>
        <w:jc w:val="both"/>
        <w:rPr>
          <w:rFonts w:ascii="Century Gothic" w:hAnsi="Century Gothic"/>
          <w:sz w:val="20"/>
          <w:szCs w:val="20"/>
        </w:rPr>
      </w:pPr>
      <w:r w:rsidRPr="00D47EE7">
        <w:rPr>
          <w:rFonts w:ascii="Century Gothic" w:hAnsi="Century Gothic"/>
          <w:sz w:val="20"/>
          <w:szCs w:val="20"/>
        </w:rPr>
        <w:t>8.1.5</w:t>
      </w:r>
      <w:r w:rsidR="00E700A7" w:rsidRPr="00D47EE7">
        <w:rPr>
          <w:rFonts w:ascii="Century Gothic" w:hAnsi="Century Gothic"/>
          <w:sz w:val="20"/>
          <w:szCs w:val="20"/>
        </w:rPr>
        <w:tab/>
        <w:t>De la sesión, se levantará acta en la que se hará constar la fecha, lugar y hora en que se llevó a cabo el acto de apertura de ofertas y fallo, las propuestas aceptadas, así como las que hubieren sido desechadas y las causas que lo motivaron. El acta será firmada por los integrantes de la Comisión.</w:t>
      </w:r>
    </w:p>
    <w:p w14:paraId="5FE5C1B9" w14:textId="77777777" w:rsidR="00E700A7" w:rsidRPr="00D47EE7" w:rsidRDefault="00E700A7" w:rsidP="00E700A7">
      <w:pPr>
        <w:tabs>
          <w:tab w:val="left" w:pos="0"/>
          <w:tab w:val="left" w:pos="567"/>
          <w:tab w:val="left" w:pos="993"/>
        </w:tabs>
        <w:jc w:val="both"/>
        <w:rPr>
          <w:rFonts w:ascii="Century Gothic" w:hAnsi="Century Gothic"/>
          <w:sz w:val="20"/>
          <w:szCs w:val="20"/>
        </w:rPr>
      </w:pPr>
    </w:p>
    <w:p w14:paraId="58EC7C80" w14:textId="439AD1E2" w:rsidR="00AD3609" w:rsidRPr="00D47EE7" w:rsidRDefault="007914D2" w:rsidP="00AD3609">
      <w:pPr>
        <w:tabs>
          <w:tab w:val="left" w:pos="0"/>
          <w:tab w:val="left" w:pos="567"/>
        </w:tabs>
        <w:jc w:val="both"/>
        <w:rPr>
          <w:rFonts w:ascii="Century Gothic" w:hAnsi="Century Gothic"/>
          <w:sz w:val="20"/>
          <w:szCs w:val="20"/>
        </w:rPr>
      </w:pPr>
      <w:r w:rsidRPr="00D47EE7">
        <w:rPr>
          <w:rFonts w:ascii="Century Gothic" w:hAnsi="Century Gothic"/>
          <w:sz w:val="20"/>
          <w:szCs w:val="20"/>
        </w:rPr>
        <w:t>8.1.6</w:t>
      </w:r>
      <w:r w:rsidR="00E700A7" w:rsidRPr="00D47EE7">
        <w:rPr>
          <w:rFonts w:ascii="Century Gothic" w:hAnsi="Century Gothic"/>
          <w:sz w:val="20"/>
          <w:szCs w:val="20"/>
        </w:rPr>
        <w:tab/>
        <w:t>Una vez finalizado el procedimiento de apertura de ofertas y fallo, a los participantes que no resultaron ganadores y de aquellos cuyas posturas hubiesen sido rechazadas, se les hará la devolución de la g</w:t>
      </w:r>
      <w:r w:rsidR="00AD3609" w:rsidRPr="00D47EE7">
        <w:rPr>
          <w:rFonts w:ascii="Century Gothic" w:hAnsi="Century Gothic"/>
          <w:sz w:val="20"/>
          <w:szCs w:val="20"/>
        </w:rPr>
        <w:t>arantía de seriedad de oferta. A</w:t>
      </w:r>
      <w:r w:rsidR="00866E1B" w:rsidRPr="00D47EE7">
        <w:rPr>
          <w:rFonts w:ascii="Century Gothic" w:hAnsi="Century Gothic"/>
          <w:sz w:val="20"/>
          <w:szCs w:val="20"/>
        </w:rPr>
        <w:t xml:space="preserve">l ofertante ganador </w:t>
      </w:r>
      <w:r w:rsidR="00AD3609" w:rsidRPr="00D47EE7">
        <w:rPr>
          <w:rFonts w:ascii="Century Gothic" w:hAnsi="Century Gothic"/>
          <w:sz w:val="20"/>
          <w:szCs w:val="20"/>
        </w:rPr>
        <w:t xml:space="preserve">se le hará devolución de la garantía de seriedad de oferta una vez </w:t>
      </w:r>
      <w:r w:rsidR="00DC1D21" w:rsidRPr="00D47EE7">
        <w:rPr>
          <w:rFonts w:ascii="Century Gothic" w:hAnsi="Century Gothic"/>
          <w:sz w:val="20"/>
          <w:szCs w:val="20"/>
        </w:rPr>
        <w:t xml:space="preserve">pagado la totalidad de los bienes y </w:t>
      </w:r>
      <w:r w:rsidR="00AD3609" w:rsidRPr="00D47EE7">
        <w:rPr>
          <w:rFonts w:ascii="Century Gothic" w:hAnsi="Century Gothic"/>
          <w:sz w:val="20"/>
          <w:szCs w:val="20"/>
        </w:rPr>
        <w:t xml:space="preserve">formalizado el respectivo contrato. </w:t>
      </w:r>
    </w:p>
    <w:p w14:paraId="51ECEB62" w14:textId="77777777" w:rsidR="00174A91" w:rsidRPr="00D47EE7" w:rsidRDefault="00174A91" w:rsidP="00E700A7">
      <w:pPr>
        <w:tabs>
          <w:tab w:val="left" w:pos="0"/>
          <w:tab w:val="left" w:pos="567"/>
          <w:tab w:val="left" w:pos="993"/>
        </w:tabs>
        <w:jc w:val="both"/>
        <w:rPr>
          <w:rFonts w:ascii="Century Gothic" w:hAnsi="Century Gothic"/>
          <w:sz w:val="20"/>
          <w:szCs w:val="20"/>
        </w:rPr>
      </w:pPr>
    </w:p>
    <w:p w14:paraId="273D2237" w14:textId="77777777" w:rsidR="00E700A7" w:rsidRPr="00D47EE7" w:rsidRDefault="00E700A7" w:rsidP="00E700A7">
      <w:pPr>
        <w:tabs>
          <w:tab w:val="left" w:pos="426"/>
          <w:tab w:val="left" w:pos="1843"/>
        </w:tabs>
        <w:jc w:val="both"/>
        <w:rPr>
          <w:rFonts w:ascii="Century Gothic" w:hAnsi="Century Gothic"/>
          <w:sz w:val="20"/>
          <w:szCs w:val="20"/>
        </w:rPr>
      </w:pPr>
      <w:r w:rsidRPr="00D47EE7">
        <w:rPr>
          <w:rFonts w:ascii="Century Gothic" w:hAnsi="Century Gothic"/>
          <w:b/>
          <w:sz w:val="20"/>
          <w:szCs w:val="20"/>
        </w:rPr>
        <w:t>IX.</w:t>
      </w:r>
      <w:r w:rsidRPr="00D47EE7">
        <w:rPr>
          <w:rFonts w:ascii="Century Gothic" w:hAnsi="Century Gothic"/>
          <w:b/>
          <w:sz w:val="20"/>
          <w:szCs w:val="20"/>
        </w:rPr>
        <w:tab/>
        <w:t>Retiro de los bienes adjudicados</w:t>
      </w:r>
      <w:r w:rsidRPr="00D47EE7">
        <w:rPr>
          <w:rFonts w:ascii="Century Gothic" w:hAnsi="Century Gothic"/>
          <w:sz w:val="20"/>
          <w:szCs w:val="20"/>
        </w:rPr>
        <w:t>.</w:t>
      </w:r>
    </w:p>
    <w:p w14:paraId="6F566ED2" w14:textId="25C6B02A" w:rsidR="00E700A7" w:rsidRPr="00D47EE7" w:rsidRDefault="00E700A7" w:rsidP="00E700A7">
      <w:pPr>
        <w:tabs>
          <w:tab w:val="left" w:pos="0"/>
          <w:tab w:val="left" w:pos="426"/>
        </w:tabs>
        <w:jc w:val="both"/>
        <w:rPr>
          <w:rFonts w:ascii="Century Gothic" w:hAnsi="Century Gothic"/>
          <w:sz w:val="20"/>
          <w:szCs w:val="20"/>
        </w:rPr>
      </w:pPr>
      <w:r w:rsidRPr="00D47EE7">
        <w:rPr>
          <w:rFonts w:ascii="Century Gothic" w:hAnsi="Century Gothic"/>
          <w:sz w:val="20"/>
          <w:szCs w:val="20"/>
        </w:rPr>
        <w:t>9.1</w:t>
      </w:r>
      <w:r w:rsidRPr="00D47EE7">
        <w:rPr>
          <w:rFonts w:ascii="Century Gothic" w:hAnsi="Century Gothic"/>
          <w:sz w:val="20"/>
          <w:szCs w:val="20"/>
        </w:rPr>
        <w:tab/>
        <w:t xml:space="preserve">El ofertante ganador deberá retirar del </w:t>
      </w:r>
      <w:r w:rsidR="006F210B" w:rsidRPr="00D47EE7">
        <w:rPr>
          <w:rFonts w:ascii="Century Gothic" w:hAnsi="Century Gothic"/>
          <w:sz w:val="20"/>
          <w:szCs w:val="20"/>
        </w:rPr>
        <w:t>miércoles 25</w:t>
      </w:r>
      <w:r w:rsidRPr="00D47EE7">
        <w:rPr>
          <w:rFonts w:ascii="Century Gothic" w:hAnsi="Century Gothic"/>
          <w:sz w:val="20"/>
          <w:szCs w:val="20"/>
        </w:rPr>
        <w:t xml:space="preserve"> al </w:t>
      </w:r>
      <w:r w:rsidR="006F210B" w:rsidRPr="00D47EE7">
        <w:rPr>
          <w:rFonts w:ascii="Century Gothic" w:hAnsi="Century Gothic"/>
          <w:sz w:val="20"/>
          <w:szCs w:val="20"/>
        </w:rPr>
        <w:t xml:space="preserve">miércoles 31 </w:t>
      </w:r>
      <w:r w:rsidRPr="00D47EE7">
        <w:rPr>
          <w:rFonts w:ascii="Century Gothic" w:hAnsi="Century Gothic"/>
          <w:sz w:val="20"/>
          <w:szCs w:val="20"/>
        </w:rPr>
        <w:t xml:space="preserve">de agosto del año en curso los bienes que se </w:t>
      </w:r>
      <w:r w:rsidR="00DE699B" w:rsidRPr="00D47EE7">
        <w:rPr>
          <w:rFonts w:ascii="Century Gothic" w:hAnsi="Century Gothic"/>
          <w:sz w:val="20"/>
          <w:szCs w:val="20"/>
        </w:rPr>
        <w:t xml:space="preserve">adjudicó </w:t>
      </w:r>
      <w:r w:rsidRPr="00D47EE7">
        <w:rPr>
          <w:rFonts w:ascii="Century Gothic" w:hAnsi="Century Gothic"/>
          <w:sz w:val="20"/>
          <w:szCs w:val="20"/>
        </w:rPr>
        <w:t>y será responsabilidad directa de éste, la supervisión, vigilancia, control, revisión de los trabajos de recolección y retiro de las instalaciones del almacén de la Dirección de Control Patrimonial de este Municipio, sita calle Ignacio Borunda número 106, fraccionamiento Ciudad Industrial de esta ciudad</w:t>
      </w:r>
      <w:r w:rsidR="00FB646C" w:rsidRPr="00D47EE7">
        <w:rPr>
          <w:rFonts w:ascii="Century Gothic" w:hAnsi="Century Gothic"/>
          <w:sz w:val="20"/>
          <w:szCs w:val="20"/>
        </w:rPr>
        <w:t xml:space="preserve">, </w:t>
      </w:r>
      <w:r w:rsidR="0027546F" w:rsidRPr="00D47EE7">
        <w:rPr>
          <w:rFonts w:ascii="Century Gothic" w:hAnsi="Century Gothic"/>
          <w:sz w:val="20"/>
          <w:szCs w:val="20"/>
        </w:rPr>
        <w:t>conforme a</w:t>
      </w:r>
      <w:r w:rsidR="00FB646C" w:rsidRPr="00D47EE7">
        <w:rPr>
          <w:rFonts w:ascii="Century Gothic" w:hAnsi="Century Gothic"/>
          <w:sz w:val="20"/>
          <w:szCs w:val="20"/>
        </w:rPr>
        <w:t xml:space="preserve">l procedimiento </w:t>
      </w:r>
      <w:r w:rsidR="0027546F" w:rsidRPr="00D47EE7">
        <w:rPr>
          <w:rFonts w:ascii="Century Gothic" w:hAnsi="Century Gothic"/>
          <w:sz w:val="20"/>
          <w:szCs w:val="20"/>
        </w:rPr>
        <w:t>siguiente:</w:t>
      </w:r>
    </w:p>
    <w:p w14:paraId="61E65C22" w14:textId="77777777" w:rsidR="00E700A7" w:rsidRPr="00D47EE7" w:rsidRDefault="00E700A7" w:rsidP="00E700A7">
      <w:pPr>
        <w:tabs>
          <w:tab w:val="left" w:pos="426"/>
          <w:tab w:val="left" w:pos="993"/>
        </w:tabs>
        <w:jc w:val="both"/>
        <w:rPr>
          <w:rFonts w:ascii="Century Gothic" w:hAnsi="Century Gothic"/>
          <w:b/>
          <w:sz w:val="20"/>
          <w:szCs w:val="20"/>
        </w:rPr>
      </w:pPr>
    </w:p>
    <w:p w14:paraId="5D696947" w14:textId="77777777"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sz w:val="20"/>
          <w:szCs w:val="20"/>
        </w:rPr>
        <w:t>9.</w:t>
      </w:r>
      <w:r w:rsidR="00FB646C" w:rsidRPr="00D47EE7">
        <w:rPr>
          <w:rFonts w:ascii="Century Gothic" w:hAnsi="Century Gothic"/>
          <w:sz w:val="20"/>
          <w:szCs w:val="20"/>
        </w:rPr>
        <w:t>1.1</w:t>
      </w:r>
      <w:r w:rsidRPr="00D47EE7">
        <w:rPr>
          <w:rFonts w:ascii="Century Gothic" w:hAnsi="Century Gothic"/>
          <w:sz w:val="20"/>
          <w:szCs w:val="20"/>
        </w:rPr>
        <w:t xml:space="preserve"> El vehículo del ofertante pasará a la báscula certificada determinada por el Municipio, para obtener el peso tara. </w:t>
      </w:r>
    </w:p>
    <w:p w14:paraId="745DE629" w14:textId="77777777"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sz w:val="20"/>
          <w:szCs w:val="20"/>
        </w:rPr>
        <w:lastRenderedPageBreak/>
        <w:t>9.</w:t>
      </w:r>
      <w:r w:rsidR="00FB646C" w:rsidRPr="00D47EE7">
        <w:rPr>
          <w:rFonts w:ascii="Century Gothic" w:hAnsi="Century Gothic"/>
          <w:sz w:val="20"/>
          <w:szCs w:val="20"/>
        </w:rPr>
        <w:t>1.2</w:t>
      </w:r>
      <w:r w:rsidRPr="00D47EE7">
        <w:rPr>
          <w:rFonts w:ascii="Century Gothic" w:hAnsi="Century Gothic"/>
          <w:sz w:val="20"/>
          <w:szCs w:val="20"/>
        </w:rPr>
        <w:t xml:space="preserve"> Determinado el peso tara el vehículo acudirá al almacén de la Dirección de Control Patrimonial para cargar los bienes adjudicados.</w:t>
      </w:r>
    </w:p>
    <w:p w14:paraId="59E3AF2C" w14:textId="77777777" w:rsidR="00DC1D21" w:rsidRPr="00D47EE7" w:rsidRDefault="00DC1D21" w:rsidP="00E700A7">
      <w:pPr>
        <w:tabs>
          <w:tab w:val="left" w:pos="426"/>
          <w:tab w:val="left" w:pos="993"/>
        </w:tabs>
        <w:jc w:val="both"/>
        <w:rPr>
          <w:rFonts w:ascii="Century Gothic" w:hAnsi="Century Gothic"/>
          <w:sz w:val="20"/>
          <w:szCs w:val="20"/>
        </w:rPr>
      </w:pPr>
    </w:p>
    <w:p w14:paraId="5153B891" w14:textId="00F88A71"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sz w:val="20"/>
          <w:szCs w:val="20"/>
        </w:rPr>
        <w:t>9.</w:t>
      </w:r>
      <w:r w:rsidR="00FB646C" w:rsidRPr="00D47EE7">
        <w:rPr>
          <w:rFonts w:ascii="Century Gothic" w:hAnsi="Century Gothic"/>
          <w:sz w:val="20"/>
          <w:szCs w:val="20"/>
        </w:rPr>
        <w:t>1.3</w:t>
      </w:r>
      <w:r w:rsidRPr="00D47EE7">
        <w:rPr>
          <w:rFonts w:ascii="Century Gothic" w:hAnsi="Century Gothic"/>
          <w:sz w:val="20"/>
          <w:szCs w:val="20"/>
        </w:rPr>
        <w:t xml:space="preserve"> Una vez cargados los bienes en el vehículo regresará a la báscula certificada para obtener el peso neto de los bienes adjudicados.</w:t>
      </w:r>
    </w:p>
    <w:p w14:paraId="13DC6E51" w14:textId="77777777" w:rsidR="00E700A7" w:rsidRPr="00D47EE7" w:rsidRDefault="00E700A7" w:rsidP="00E700A7">
      <w:pPr>
        <w:tabs>
          <w:tab w:val="left" w:pos="426"/>
          <w:tab w:val="left" w:pos="993"/>
        </w:tabs>
        <w:jc w:val="both"/>
        <w:rPr>
          <w:rFonts w:ascii="Century Gothic" w:hAnsi="Century Gothic"/>
          <w:b/>
          <w:sz w:val="20"/>
          <w:szCs w:val="20"/>
        </w:rPr>
      </w:pPr>
    </w:p>
    <w:p w14:paraId="0A80D286" w14:textId="23592F37"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sz w:val="20"/>
          <w:szCs w:val="20"/>
        </w:rPr>
        <w:t>9.</w:t>
      </w:r>
      <w:r w:rsidR="00FB646C" w:rsidRPr="00D47EE7">
        <w:rPr>
          <w:rFonts w:ascii="Century Gothic" w:hAnsi="Century Gothic"/>
          <w:sz w:val="20"/>
          <w:szCs w:val="20"/>
        </w:rPr>
        <w:t>1.4</w:t>
      </w:r>
      <w:r w:rsidRPr="00D47EE7">
        <w:rPr>
          <w:rFonts w:ascii="Century Gothic" w:hAnsi="Century Gothic"/>
          <w:sz w:val="20"/>
          <w:szCs w:val="20"/>
        </w:rPr>
        <w:t xml:space="preserve"> </w:t>
      </w:r>
      <w:r w:rsidR="00D078B1" w:rsidRPr="00D47EE7">
        <w:rPr>
          <w:rFonts w:ascii="Century Gothic" w:hAnsi="Century Gothic"/>
          <w:sz w:val="20"/>
          <w:szCs w:val="20"/>
        </w:rPr>
        <w:t>Por c</w:t>
      </w:r>
      <w:r w:rsidRPr="00D47EE7">
        <w:rPr>
          <w:rFonts w:ascii="Century Gothic" w:hAnsi="Century Gothic"/>
          <w:sz w:val="20"/>
          <w:szCs w:val="20"/>
        </w:rPr>
        <w:t xml:space="preserve">ada </w:t>
      </w:r>
      <w:r w:rsidR="00D078B1" w:rsidRPr="00D47EE7">
        <w:rPr>
          <w:rFonts w:ascii="Century Gothic" w:hAnsi="Century Gothic"/>
          <w:sz w:val="20"/>
          <w:szCs w:val="20"/>
        </w:rPr>
        <w:t xml:space="preserve">viaje una </w:t>
      </w:r>
      <w:r w:rsidRPr="00D47EE7">
        <w:rPr>
          <w:rFonts w:ascii="Century Gothic" w:hAnsi="Century Gothic"/>
          <w:sz w:val="20"/>
          <w:szCs w:val="20"/>
        </w:rPr>
        <w:t>vez determin</w:t>
      </w:r>
      <w:r w:rsidR="00D078B1" w:rsidRPr="00D47EE7">
        <w:rPr>
          <w:rFonts w:ascii="Century Gothic" w:hAnsi="Century Gothic"/>
          <w:sz w:val="20"/>
          <w:szCs w:val="20"/>
        </w:rPr>
        <w:t>ado</w:t>
      </w:r>
      <w:r w:rsidRPr="00D47EE7">
        <w:rPr>
          <w:rFonts w:ascii="Century Gothic" w:hAnsi="Century Gothic"/>
          <w:sz w:val="20"/>
          <w:szCs w:val="20"/>
        </w:rPr>
        <w:t xml:space="preserve"> el peso neto a pagar</w:t>
      </w:r>
      <w:r w:rsidR="00BD786F" w:rsidRPr="00D47EE7">
        <w:rPr>
          <w:rFonts w:ascii="Century Gothic" w:hAnsi="Century Gothic"/>
          <w:sz w:val="20"/>
          <w:szCs w:val="20"/>
        </w:rPr>
        <w:t xml:space="preserve">, </w:t>
      </w:r>
      <w:r w:rsidRPr="00D47EE7">
        <w:rPr>
          <w:rFonts w:ascii="Century Gothic" w:hAnsi="Century Gothic"/>
          <w:sz w:val="20"/>
          <w:szCs w:val="20"/>
        </w:rPr>
        <w:t xml:space="preserve">se procederá conforme a lo marcado en el </w:t>
      </w:r>
      <w:r w:rsidR="005C0D44" w:rsidRPr="00D47EE7">
        <w:rPr>
          <w:rFonts w:ascii="Century Gothic" w:hAnsi="Century Gothic"/>
          <w:sz w:val="20"/>
          <w:szCs w:val="20"/>
        </w:rPr>
        <w:t xml:space="preserve">numeral </w:t>
      </w:r>
      <w:r w:rsidRPr="00D47EE7">
        <w:rPr>
          <w:rFonts w:ascii="Century Gothic" w:hAnsi="Century Gothic"/>
          <w:sz w:val="20"/>
          <w:szCs w:val="20"/>
        </w:rPr>
        <w:t xml:space="preserve">X de las presentes bases. </w:t>
      </w:r>
    </w:p>
    <w:p w14:paraId="0B1921E5" w14:textId="77777777" w:rsidR="00E700A7" w:rsidRPr="00D47EE7" w:rsidRDefault="00E700A7" w:rsidP="00E700A7">
      <w:pPr>
        <w:tabs>
          <w:tab w:val="left" w:pos="426"/>
          <w:tab w:val="left" w:pos="993"/>
        </w:tabs>
        <w:jc w:val="both"/>
        <w:rPr>
          <w:rFonts w:ascii="Century Gothic" w:hAnsi="Century Gothic"/>
          <w:b/>
          <w:sz w:val="20"/>
          <w:szCs w:val="20"/>
        </w:rPr>
      </w:pPr>
    </w:p>
    <w:p w14:paraId="5E35FF0B" w14:textId="77777777"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b/>
          <w:sz w:val="20"/>
          <w:szCs w:val="20"/>
        </w:rPr>
        <w:t>X.</w:t>
      </w:r>
      <w:r w:rsidRPr="00D47EE7">
        <w:rPr>
          <w:rFonts w:ascii="Century Gothic" w:hAnsi="Century Gothic"/>
          <w:b/>
          <w:sz w:val="20"/>
          <w:szCs w:val="20"/>
        </w:rPr>
        <w:tab/>
        <w:t>Forma de pago</w:t>
      </w:r>
      <w:r w:rsidRPr="00D47EE7">
        <w:rPr>
          <w:rFonts w:ascii="Century Gothic" w:hAnsi="Century Gothic"/>
          <w:sz w:val="20"/>
          <w:szCs w:val="20"/>
        </w:rPr>
        <w:t>.</w:t>
      </w:r>
    </w:p>
    <w:p w14:paraId="2320A352" w14:textId="77777777" w:rsidR="00AD3609" w:rsidRPr="00D47EE7" w:rsidRDefault="00553996" w:rsidP="00553996">
      <w:pPr>
        <w:tabs>
          <w:tab w:val="left" w:pos="567"/>
        </w:tabs>
        <w:jc w:val="both"/>
        <w:rPr>
          <w:rFonts w:ascii="Century Gothic" w:hAnsi="Century Gothic"/>
          <w:sz w:val="20"/>
          <w:szCs w:val="20"/>
        </w:rPr>
      </w:pPr>
      <w:r w:rsidRPr="00D47EE7">
        <w:rPr>
          <w:rFonts w:ascii="Century Gothic" w:hAnsi="Century Gothic"/>
          <w:sz w:val="20"/>
          <w:szCs w:val="20"/>
        </w:rPr>
        <w:t>10.1</w:t>
      </w:r>
      <w:r w:rsidRPr="00D47EE7">
        <w:rPr>
          <w:rFonts w:ascii="Century Gothic" w:hAnsi="Century Gothic"/>
          <w:sz w:val="20"/>
          <w:szCs w:val="20"/>
        </w:rPr>
        <w:tab/>
        <w:t>La Tesorería Municipal no tomará en cuenta la garantía de seriedad de oferta como pago parcial o abono a cuenta de los bienes enajenados, éstos deberán ser pagados de manera total según la postura con la que haya resultado ganador</w:t>
      </w:r>
      <w:r w:rsidR="00AD3609" w:rsidRPr="00D47EE7">
        <w:rPr>
          <w:rFonts w:ascii="Century Gothic" w:hAnsi="Century Gothic"/>
          <w:sz w:val="20"/>
          <w:szCs w:val="20"/>
        </w:rPr>
        <w:t>.</w:t>
      </w:r>
    </w:p>
    <w:p w14:paraId="603E9EA7" w14:textId="77777777" w:rsidR="00AD3609" w:rsidRPr="00D47EE7" w:rsidRDefault="00AD3609" w:rsidP="00553996">
      <w:pPr>
        <w:tabs>
          <w:tab w:val="left" w:pos="567"/>
        </w:tabs>
        <w:jc w:val="both"/>
        <w:rPr>
          <w:rFonts w:ascii="Century Gothic" w:hAnsi="Century Gothic"/>
          <w:sz w:val="20"/>
          <w:szCs w:val="20"/>
        </w:rPr>
      </w:pPr>
    </w:p>
    <w:p w14:paraId="4F0AE4D8" w14:textId="61389B01" w:rsidR="00E700A7" w:rsidRPr="00D47EE7" w:rsidRDefault="00E700A7" w:rsidP="00E700A7">
      <w:pPr>
        <w:tabs>
          <w:tab w:val="left" w:pos="567"/>
        </w:tabs>
        <w:jc w:val="both"/>
        <w:rPr>
          <w:rFonts w:ascii="Century Gothic" w:hAnsi="Century Gothic"/>
          <w:sz w:val="20"/>
          <w:szCs w:val="20"/>
        </w:rPr>
      </w:pPr>
      <w:r w:rsidRPr="00D47EE7">
        <w:rPr>
          <w:rFonts w:ascii="Century Gothic" w:hAnsi="Century Gothic"/>
          <w:sz w:val="20"/>
          <w:szCs w:val="20"/>
        </w:rPr>
        <w:t>10.</w:t>
      </w:r>
      <w:r w:rsidR="00714FA8" w:rsidRPr="00D47EE7">
        <w:rPr>
          <w:rFonts w:ascii="Century Gothic" w:hAnsi="Century Gothic"/>
          <w:sz w:val="20"/>
          <w:szCs w:val="20"/>
        </w:rPr>
        <w:t>2</w:t>
      </w:r>
      <w:r w:rsidRPr="00D47EE7">
        <w:rPr>
          <w:rFonts w:ascii="Century Gothic" w:hAnsi="Century Gothic"/>
          <w:sz w:val="20"/>
          <w:szCs w:val="20"/>
        </w:rPr>
        <w:tab/>
        <w:t xml:space="preserve">El pago de la adjudicación deberá efectuarse en efectivo o cheque nominativo a favor del Municipio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 xml:space="preserve">., en las cajas de la Dirección de Ingresos dependiente de la Tesorería Municipal; </w:t>
      </w:r>
      <w:r w:rsidR="002F16E6" w:rsidRPr="00D47EE7">
        <w:rPr>
          <w:rFonts w:ascii="Century Gothic" w:hAnsi="Century Gothic"/>
          <w:sz w:val="20"/>
          <w:szCs w:val="20"/>
        </w:rPr>
        <w:t>sita calle Pípila</w:t>
      </w:r>
      <w:r w:rsidR="00B94BFB" w:rsidRPr="00D47EE7">
        <w:rPr>
          <w:rFonts w:ascii="Century Gothic" w:hAnsi="Century Gothic"/>
          <w:sz w:val="20"/>
          <w:szCs w:val="20"/>
        </w:rPr>
        <w:t xml:space="preserve"> número 146 </w:t>
      </w:r>
      <w:r w:rsidR="002F16E6" w:rsidRPr="00D47EE7">
        <w:rPr>
          <w:rFonts w:ascii="Century Gothic" w:hAnsi="Century Gothic"/>
          <w:sz w:val="20"/>
          <w:szCs w:val="20"/>
        </w:rPr>
        <w:t>esquina calle Ignacio Camargo</w:t>
      </w:r>
      <w:r w:rsidR="00B94BFB" w:rsidRPr="00D47EE7">
        <w:rPr>
          <w:rFonts w:ascii="Century Gothic" w:hAnsi="Century Gothic"/>
          <w:sz w:val="20"/>
          <w:szCs w:val="20"/>
        </w:rPr>
        <w:t xml:space="preserve">, primer piso, de esta ciudad de Celaya, </w:t>
      </w:r>
      <w:proofErr w:type="spellStart"/>
      <w:r w:rsidR="00B94BFB" w:rsidRPr="00D47EE7">
        <w:rPr>
          <w:rFonts w:ascii="Century Gothic" w:hAnsi="Century Gothic"/>
          <w:sz w:val="20"/>
          <w:szCs w:val="20"/>
        </w:rPr>
        <w:t>Gto</w:t>
      </w:r>
      <w:proofErr w:type="spellEnd"/>
      <w:r w:rsidR="00B94BFB" w:rsidRPr="00D47EE7">
        <w:rPr>
          <w:rFonts w:ascii="Century Gothic" w:hAnsi="Century Gothic"/>
          <w:sz w:val="20"/>
          <w:szCs w:val="20"/>
        </w:rPr>
        <w:t xml:space="preserve">., </w:t>
      </w:r>
      <w:r w:rsidRPr="00D47EE7">
        <w:rPr>
          <w:rFonts w:ascii="Century Gothic" w:hAnsi="Century Gothic"/>
          <w:sz w:val="20"/>
          <w:szCs w:val="20"/>
        </w:rPr>
        <w:t xml:space="preserve">o bien, mediante depósito o transferencia bancaria a favor del Municipio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 al Banco del Bajío S.A., cuenta bancaria 17610247-0101; CLABE 030215900009603923.</w:t>
      </w:r>
    </w:p>
    <w:p w14:paraId="6FFA0663" w14:textId="77777777" w:rsidR="00E700A7" w:rsidRPr="00D47EE7" w:rsidRDefault="00E700A7" w:rsidP="00E700A7">
      <w:pPr>
        <w:tabs>
          <w:tab w:val="left" w:pos="426"/>
          <w:tab w:val="left" w:pos="1843"/>
        </w:tabs>
        <w:jc w:val="both"/>
        <w:rPr>
          <w:rFonts w:ascii="Century Gothic" w:hAnsi="Century Gothic"/>
          <w:b/>
          <w:sz w:val="20"/>
          <w:szCs w:val="20"/>
        </w:rPr>
      </w:pPr>
    </w:p>
    <w:p w14:paraId="65D3EE96" w14:textId="77777777"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b/>
          <w:sz w:val="20"/>
          <w:szCs w:val="20"/>
        </w:rPr>
        <w:t>XI.</w:t>
      </w:r>
      <w:r w:rsidRPr="00D47EE7">
        <w:rPr>
          <w:rFonts w:ascii="Century Gothic" w:hAnsi="Century Gothic"/>
          <w:b/>
          <w:sz w:val="20"/>
          <w:szCs w:val="20"/>
        </w:rPr>
        <w:tab/>
        <w:t>Firma del contrato</w:t>
      </w:r>
      <w:r w:rsidRPr="00D47EE7">
        <w:rPr>
          <w:rFonts w:ascii="Century Gothic" w:hAnsi="Century Gothic"/>
          <w:sz w:val="20"/>
          <w:szCs w:val="20"/>
        </w:rPr>
        <w:t>.</w:t>
      </w:r>
    </w:p>
    <w:p w14:paraId="0E74DC9E" w14:textId="77777777" w:rsidR="00E700A7" w:rsidRPr="00D47EE7" w:rsidRDefault="00E700A7" w:rsidP="00E700A7">
      <w:pPr>
        <w:tabs>
          <w:tab w:val="left" w:pos="426"/>
          <w:tab w:val="left" w:pos="993"/>
        </w:tabs>
        <w:jc w:val="both"/>
        <w:rPr>
          <w:rFonts w:ascii="Century Gothic" w:hAnsi="Century Gothic"/>
          <w:sz w:val="20"/>
          <w:szCs w:val="20"/>
        </w:rPr>
      </w:pPr>
      <w:r w:rsidRPr="00D47EE7">
        <w:rPr>
          <w:rFonts w:ascii="Century Gothic" w:hAnsi="Century Gothic"/>
          <w:sz w:val="20"/>
          <w:szCs w:val="20"/>
        </w:rPr>
        <w:t>11.1</w:t>
      </w:r>
      <w:r w:rsidRPr="00D47EE7">
        <w:rPr>
          <w:rFonts w:ascii="Century Gothic" w:hAnsi="Century Gothic"/>
          <w:sz w:val="20"/>
          <w:szCs w:val="20"/>
        </w:rPr>
        <w:tab/>
        <w:t xml:space="preserve">Una vez pagado el costo total de los bienes, el Municipio de Celaya y la persona física o moral en quien hubiere recaído la adjudicación, formalizarán </w:t>
      </w:r>
      <w:r w:rsidR="009F740A" w:rsidRPr="00D47EE7">
        <w:rPr>
          <w:rFonts w:ascii="Century Gothic" w:hAnsi="Century Gothic"/>
          <w:sz w:val="20"/>
          <w:szCs w:val="20"/>
        </w:rPr>
        <w:t xml:space="preserve">mediante el contrato respectivo </w:t>
      </w:r>
      <w:r w:rsidRPr="00D47EE7">
        <w:rPr>
          <w:rFonts w:ascii="Century Gothic" w:hAnsi="Century Gothic"/>
          <w:sz w:val="20"/>
          <w:szCs w:val="20"/>
        </w:rPr>
        <w:t xml:space="preserve">dicha adjudicación. </w:t>
      </w:r>
    </w:p>
    <w:p w14:paraId="344050FF" w14:textId="77777777" w:rsidR="00E700A7" w:rsidRPr="00D47EE7" w:rsidRDefault="00E700A7" w:rsidP="00E700A7">
      <w:pPr>
        <w:tabs>
          <w:tab w:val="left" w:pos="426"/>
          <w:tab w:val="left" w:pos="1843"/>
        </w:tabs>
        <w:jc w:val="both"/>
        <w:rPr>
          <w:rFonts w:ascii="Century Gothic" w:hAnsi="Century Gothic"/>
          <w:sz w:val="20"/>
          <w:szCs w:val="20"/>
        </w:rPr>
      </w:pPr>
    </w:p>
    <w:p w14:paraId="227017F0" w14:textId="77777777" w:rsidR="00E700A7" w:rsidRPr="00D47EE7" w:rsidRDefault="00E700A7" w:rsidP="00E700A7">
      <w:pPr>
        <w:tabs>
          <w:tab w:val="left" w:pos="426"/>
          <w:tab w:val="left" w:pos="1843"/>
        </w:tabs>
        <w:jc w:val="both"/>
        <w:rPr>
          <w:rFonts w:ascii="Century Gothic" w:hAnsi="Century Gothic"/>
          <w:sz w:val="20"/>
          <w:szCs w:val="20"/>
        </w:rPr>
      </w:pPr>
      <w:r w:rsidRPr="00D47EE7">
        <w:rPr>
          <w:rFonts w:ascii="Century Gothic" w:hAnsi="Century Gothic"/>
          <w:b/>
          <w:sz w:val="20"/>
          <w:szCs w:val="20"/>
        </w:rPr>
        <w:t>XII.</w:t>
      </w:r>
      <w:r w:rsidRPr="00D47EE7">
        <w:rPr>
          <w:rFonts w:ascii="Century Gothic" w:hAnsi="Century Gothic"/>
          <w:b/>
          <w:sz w:val="20"/>
          <w:szCs w:val="20"/>
        </w:rPr>
        <w:tab/>
        <w:t>Las causas para declarar desierto el procedimiento de venta, serán</w:t>
      </w:r>
      <w:r w:rsidRPr="00D47EE7">
        <w:rPr>
          <w:rFonts w:ascii="Century Gothic" w:hAnsi="Century Gothic"/>
          <w:sz w:val="20"/>
          <w:szCs w:val="20"/>
        </w:rPr>
        <w:t>:</w:t>
      </w:r>
    </w:p>
    <w:p w14:paraId="38BCCF8C" w14:textId="7C1237DC" w:rsidR="00D1477A" w:rsidRPr="00D47EE7" w:rsidRDefault="00D1477A" w:rsidP="00D1477A">
      <w:pPr>
        <w:tabs>
          <w:tab w:val="left" w:pos="567"/>
        </w:tabs>
        <w:ind w:left="567" w:hanging="567"/>
        <w:jc w:val="both"/>
        <w:rPr>
          <w:rFonts w:ascii="Century Gothic" w:hAnsi="Century Gothic"/>
          <w:sz w:val="20"/>
          <w:szCs w:val="20"/>
        </w:rPr>
      </w:pPr>
      <w:r w:rsidRPr="00D47EE7">
        <w:rPr>
          <w:rFonts w:ascii="Century Gothic" w:hAnsi="Century Gothic"/>
          <w:sz w:val="20"/>
          <w:szCs w:val="20"/>
        </w:rPr>
        <w:t>12.1</w:t>
      </w:r>
      <w:r w:rsidRPr="00D47EE7">
        <w:rPr>
          <w:rFonts w:ascii="Century Gothic" w:hAnsi="Century Gothic"/>
          <w:sz w:val="20"/>
          <w:szCs w:val="20"/>
        </w:rPr>
        <w:tab/>
        <w:t>Que no se presente ninguna propuesta.</w:t>
      </w:r>
    </w:p>
    <w:p w14:paraId="0A0244A6" w14:textId="77777777" w:rsidR="00D1477A" w:rsidRPr="00D47EE7" w:rsidRDefault="00D1477A" w:rsidP="00E700A7">
      <w:pPr>
        <w:tabs>
          <w:tab w:val="left" w:pos="0"/>
          <w:tab w:val="left" w:pos="426"/>
        </w:tabs>
        <w:jc w:val="both"/>
        <w:rPr>
          <w:rFonts w:ascii="Century Gothic" w:hAnsi="Century Gothic"/>
          <w:sz w:val="20"/>
          <w:szCs w:val="20"/>
        </w:rPr>
      </w:pPr>
    </w:p>
    <w:p w14:paraId="415308BC" w14:textId="0AC62B41" w:rsidR="00E700A7" w:rsidRPr="00D47EE7" w:rsidRDefault="00E700A7" w:rsidP="00C568AA">
      <w:pPr>
        <w:tabs>
          <w:tab w:val="left" w:pos="0"/>
          <w:tab w:val="left" w:pos="567"/>
        </w:tabs>
        <w:jc w:val="both"/>
        <w:rPr>
          <w:rFonts w:ascii="Century Gothic" w:hAnsi="Century Gothic"/>
          <w:sz w:val="20"/>
          <w:szCs w:val="20"/>
        </w:rPr>
      </w:pPr>
      <w:r w:rsidRPr="00D47EE7">
        <w:rPr>
          <w:rFonts w:ascii="Century Gothic" w:hAnsi="Century Gothic"/>
          <w:sz w:val="20"/>
          <w:szCs w:val="20"/>
        </w:rPr>
        <w:t>12.</w:t>
      </w:r>
      <w:r w:rsidR="00D1477A" w:rsidRPr="00D47EE7">
        <w:rPr>
          <w:rFonts w:ascii="Century Gothic" w:hAnsi="Century Gothic"/>
          <w:sz w:val="20"/>
          <w:szCs w:val="20"/>
        </w:rPr>
        <w:t>2</w:t>
      </w:r>
      <w:r w:rsidRPr="00D47EE7">
        <w:rPr>
          <w:rFonts w:ascii="Century Gothic" w:hAnsi="Century Gothic"/>
          <w:sz w:val="20"/>
          <w:szCs w:val="20"/>
        </w:rPr>
        <w:tab/>
        <w:t xml:space="preserve">Que ninguna de las propuestas presentadas cumpla con los requisitos mínimos de participación conforme a las presentes bases. </w:t>
      </w:r>
    </w:p>
    <w:p w14:paraId="2390003C" w14:textId="77777777" w:rsidR="00E700A7" w:rsidRPr="0085153F" w:rsidRDefault="00E700A7" w:rsidP="00E700A7">
      <w:pPr>
        <w:tabs>
          <w:tab w:val="left" w:pos="0"/>
        </w:tabs>
        <w:jc w:val="both"/>
        <w:rPr>
          <w:rFonts w:ascii="Century Gothic" w:hAnsi="Century Gothic"/>
          <w:sz w:val="20"/>
          <w:szCs w:val="20"/>
        </w:rPr>
      </w:pPr>
    </w:p>
    <w:p w14:paraId="1CEBBCCE" w14:textId="77777777" w:rsidR="0085153F" w:rsidRPr="0085153F" w:rsidRDefault="0085153F" w:rsidP="0085153F">
      <w:pPr>
        <w:tabs>
          <w:tab w:val="left" w:pos="0"/>
        </w:tabs>
        <w:jc w:val="both"/>
        <w:rPr>
          <w:rFonts w:ascii="Century Gothic" w:hAnsi="Century Gothic"/>
          <w:b/>
          <w:sz w:val="20"/>
          <w:szCs w:val="20"/>
        </w:rPr>
      </w:pPr>
      <w:r w:rsidRPr="0085153F">
        <w:rPr>
          <w:rFonts w:ascii="Century Gothic" w:hAnsi="Century Gothic"/>
          <w:sz w:val="20"/>
          <w:szCs w:val="20"/>
        </w:rPr>
        <w:t>En caso de declararse desierta la venta fuera de subasta pública, el Municipio de Celaya, podrá volver a convocar.</w:t>
      </w:r>
    </w:p>
    <w:p w14:paraId="6B4DC28D" w14:textId="77777777" w:rsidR="00E700A7" w:rsidRPr="00D47EE7" w:rsidRDefault="00E700A7" w:rsidP="00E700A7">
      <w:pPr>
        <w:tabs>
          <w:tab w:val="left" w:pos="426"/>
        </w:tabs>
        <w:ind w:left="420" w:hanging="420"/>
        <w:jc w:val="both"/>
        <w:rPr>
          <w:rFonts w:ascii="Century Gothic" w:hAnsi="Century Gothic"/>
          <w:b/>
          <w:sz w:val="20"/>
          <w:szCs w:val="20"/>
        </w:rPr>
      </w:pPr>
    </w:p>
    <w:p w14:paraId="212D7C2F" w14:textId="77777777" w:rsidR="00E700A7" w:rsidRPr="00D47EE7" w:rsidRDefault="00E700A7" w:rsidP="00E700A7">
      <w:pPr>
        <w:tabs>
          <w:tab w:val="left" w:pos="426"/>
          <w:tab w:val="left" w:pos="1843"/>
        </w:tabs>
        <w:jc w:val="both"/>
        <w:rPr>
          <w:rFonts w:ascii="Century Gothic" w:hAnsi="Century Gothic"/>
          <w:sz w:val="20"/>
          <w:szCs w:val="20"/>
        </w:rPr>
      </w:pPr>
      <w:r w:rsidRPr="00D47EE7">
        <w:rPr>
          <w:rFonts w:ascii="Century Gothic" w:hAnsi="Century Gothic"/>
          <w:b/>
          <w:sz w:val="20"/>
          <w:szCs w:val="20"/>
        </w:rPr>
        <w:t>XIII.</w:t>
      </w:r>
      <w:r w:rsidRPr="00D47EE7">
        <w:rPr>
          <w:rFonts w:ascii="Century Gothic" w:hAnsi="Century Gothic"/>
          <w:b/>
          <w:sz w:val="20"/>
          <w:szCs w:val="20"/>
        </w:rPr>
        <w:tab/>
        <w:t>Otras estipulaciones</w:t>
      </w:r>
      <w:r w:rsidRPr="00D47EE7">
        <w:rPr>
          <w:rFonts w:ascii="Century Gothic" w:hAnsi="Century Gothic"/>
          <w:sz w:val="20"/>
          <w:szCs w:val="20"/>
        </w:rPr>
        <w:t xml:space="preserve">. </w:t>
      </w:r>
    </w:p>
    <w:p w14:paraId="6901CC59"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13.1</w:t>
      </w:r>
      <w:r w:rsidRPr="00D47EE7">
        <w:rPr>
          <w:rFonts w:ascii="Century Gothic" w:hAnsi="Century Gothic"/>
          <w:sz w:val="20"/>
          <w:szCs w:val="20"/>
        </w:rPr>
        <w:tab/>
        <w:t xml:space="preserve">Los casos no previstos en las presentes bases serán resueltos por la Comisión.  </w:t>
      </w:r>
    </w:p>
    <w:p w14:paraId="050951CB" w14:textId="77777777" w:rsidR="00E700A7" w:rsidRPr="00D47EE7" w:rsidRDefault="00E700A7" w:rsidP="00E700A7">
      <w:pPr>
        <w:tabs>
          <w:tab w:val="left" w:pos="0"/>
          <w:tab w:val="left" w:pos="567"/>
        </w:tabs>
        <w:jc w:val="both"/>
        <w:rPr>
          <w:rFonts w:ascii="Century Gothic" w:hAnsi="Century Gothic"/>
          <w:sz w:val="20"/>
          <w:szCs w:val="20"/>
        </w:rPr>
      </w:pPr>
    </w:p>
    <w:p w14:paraId="51939BF5"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13.2</w:t>
      </w:r>
      <w:r w:rsidRPr="00D47EE7">
        <w:rPr>
          <w:rFonts w:ascii="Century Gothic" w:hAnsi="Century Gothic"/>
          <w:sz w:val="20"/>
          <w:szCs w:val="20"/>
        </w:rPr>
        <w:tab/>
        <w:t xml:space="preserve">Ninguna de las condiciones del procedimiento y/o las ofertas presentadas, podrán ser negociadas. </w:t>
      </w:r>
    </w:p>
    <w:p w14:paraId="26D2DD39" w14:textId="77777777" w:rsidR="00E700A7" w:rsidRPr="00D47EE7" w:rsidRDefault="00E700A7" w:rsidP="00E700A7">
      <w:pPr>
        <w:tabs>
          <w:tab w:val="left" w:pos="0"/>
          <w:tab w:val="left" w:pos="567"/>
        </w:tabs>
        <w:jc w:val="both"/>
        <w:rPr>
          <w:rFonts w:ascii="Century Gothic" w:hAnsi="Century Gothic"/>
          <w:sz w:val="20"/>
          <w:szCs w:val="20"/>
        </w:rPr>
      </w:pPr>
    </w:p>
    <w:p w14:paraId="027D97AC"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13.3</w:t>
      </w:r>
      <w:r w:rsidRPr="00D47EE7">
        <w:rPr>
          <w:rFonts w:ascii="Century Gothic" w:hAnsi="Century Gothic"/>
          <w:sz w:val="20"/>
          <w:szCs w:val="20"/>
        </w:rPr>
        <w:tab/>
        <w:t xml:space="preserve">Ningún servidor público de la administración pública municipal o descentralizada, puede garantizar o influir en el resultado de la presente venta fuera de subasta pública que promueve el Municipio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w:t>
      </w:r>
    </w:p>
    <w:p w14:paraId="27304B4C" w14:textId="77777777" w:rsidR="00E700A7" w:rsidRPr="00D47EE7" w:rsidRDefault="00E700A7" w:rsidP="00E700A7">
      <w:pPr>
        <w:tabs>
          <w:tab w:val="left" w:pos="0"/>
          <w:tab w:val="left" w:pos="567"/>
        </w:tabs>
        <w:jc w:val="both"/>
        <w:rPr>
          <w:rFonts w:ascii="Century Gothic" w:hAnsi="Century Gothic"/>
          <w:sz w:val="20"/>
          <w:szCs w:val="20"/>
        </w:rPr>
      </w:pPr>
    </w:p>
    <w:p w14:paraId="02C563BA" w14:textId="77777777" w:rsidR="00E700A7" w:rsidRPr="00D47EE7" w:rsidRDefault="00E700A7" w:rsidP="00E700A7">
      <w:pPr>
        <w:tabs>
          <w:tab w:val="left" w:pos="0"/>
          <w:tab w:val="left" w:pos="567"/>
        </w:tabs>
        <w:jc w:val="both"/>
        <w:rPr>
          <w:rFonts w:ascii="Century Gothic" w:hAnsi="Century Gothic"/>
          <w:sz w:val="20"/>
          <w:szCs w:val="20"/>
        </w:rPr>
      </w:pPr>
      <w:r w:rsidRPr="00D47EE7">
        <w:rPr>
          <w:rFonts w:ascii="Century Gothic" w:hAnsi="Century Gothic"/>
          <w:sz w:val="20"/>
          <w:szCs w:val="20"/>
        </w:rPr>
        <w:t>13.4</w:t>
      </w:r>
      <w:r w:rsidRPr="00D47EE7">
        <w:rPr>
          <w:rFonts w:ascii="Century Gothic" w:hAnsi="Century Gothic"/>
          <w:sz w:val="20"/>
          <w:szCs w:val="20"/>
        </w:rPr>
        <w:tab/>
        <w:t xml:space="preserve">Las controversias que se susciten con motivo de la interpretación o ejecución derivadas de las presentes bases, serán resueltas por la Comisión con apego a lo previsto en la normatividad aplicable. </w:t>
      </w:r>
    </w:p>
    <w:p w14:paraId="698F9B21" w14:textId="77777777" w:rsidR="00E700A7" w:rsidRPr="00D47EE7" w:rsidRDefault="00E700A7" w:rsidP="00E700A7">
      <w:pPr>
        <w:jc w:val="both"/>
        <w:rPr>
          <w:rFonts w:ascii="Antenna Light" w:hAnsi="Antenna Light"/>
          <w:sz w:val="20"/>
          <w:szCs w:val="20"/>
        </w:rPr>
      </w:pPr>
    </w:p>
    <w:p w14:paraId="5522345C" w14:textId="77777777" w:rsidR="00E700A7" w:rsidRPr="00D47EE7" w:rsidRDefault="00E700A7" w:rsidP="00E700A7">
      <w:pPr>
        <w:jc w:val="both"/>
        <w:rPr>
          <w:rFonts w:ascii="Century Gothic" w:hAnsi="Century Gothic"/>
          <w:sz w:val="20"/>
          <w:szCs w:val="20"/>
        </w:rPr>
      </w:pPr>
      <w:r w:rsidRPr="00D47EE7">
        <w:rPr>
          <w:rFonts w:ascii="Century Gothic" w:hAnsi="Century Gothic"/>
          <w:b/>
          <w:sz w:val="20"/>
          <w:szCs w:val="20"/>
        </w:rPr>
        <w:lastRenderedPageBreak/>
        <w:t>Atentamente</w:t>
      </w:r>
    </w:p>
    <w:p w14:paraId="1C3FA310" w14:textId="77777777" w:rsidR="00E700A7" w:rsidRPr="00D47EE7" w:rsidRDefault="00E700A7" w:rsidP="00E700A7">
      <w:pPr>
        <w:rPr>
          <w:rFonts w:ascii="Century Gothic" w:hAnsi="Century Gothic"/>
          <w:sz w:val="20"/>
          <w:szCs w:val="20"/>
        </w:rPr>
      </w:pPr>
      <w:r w:rsidRPr="00D47EE7">
        <w:rPr>
          <w:rFonts w:ascii="Century Gothic" w:hAnsi="Century Gothic"/>
          <w:sz w:val="20"/>
          <w:szCs w:val="20"/>
        </w:rPr>
        <w:t xml:space="preserve">Tesorería Municipal de Celaya, </w:t>
      </w:r>
      <w:proofErr w:type="spellStart"/>
      <w:r w:rsidRPr="00D47EE7">
        <w:rPr>
          <w:rFonts w:ascii="Century Gothic" w:hAnsi="Century Gothic"/>
          <w:sz w:val="20"/>
          <w:szCs w:val="20"/>
        </w:rPr>
        <w:t>Gto</w:t>
      </w:r>
      <w:proofErr w:type="spellEnd"/>
      <w:r w:rsidRPr="00D47EE7">
        <w:rPr>
          <w:rFonts w:ascii="Century Gothic" w:hAnsi="Century Gothic"/>
          <w:sz w:val="20"/>
          <w:szCs w:val="20"/>
        </w:rPr>
        <w:t>.</w:t>
      </w:r>
    </w:p>
    <w:p w14:paraId="505F5708" w14:textId="77777777" w:rsidR="00E700A7" w:rsidRPr="00D47EE7" w:rsidRDefault="00E700A7" w:rsidP="00E700A7">
      <w:pPr>
        <w:rPr>
          <w:rFonts w:ascii="Century Gothic" w:hAnsi="Century Gothic"/>
          <w:sz w:val="20"/>
          <w:szCs w:val="20"/>
        </w:rPr>
      </w:pPr>
      <w:r w:rsidRPr="00D47EE7">
        <w:rPr>
          <w:rFonts w:ascii="Century Gothic" w:hAnsi="Century Gothic"/>
          <w:sz w:val="20"/>
          <w:szCs w:val="20"/>
        </w:rPr>
        <w:t>Administración Municipal 2018-2021</w:t>
      </w:r>
    </w:p>
    <w:p w14:paraId="749AACEA" w14:textId="77777777" w:rsidR="00142D24" w:rsidRPr="00D47EE7" w:rsidRDefault="00142D24" w:rsidP="007932FC">
      <w:pPr>
        <w:rPr>
          <w:sz w:val="20"/>
          <w:szCs w:val="20"/>
        </w:rPr>
      </w:pPr>
    </w:p>
    <w:sectPr w:rsidR="00142D24" w:rsidRPr="00D47EE7" w:rsidSect="00D47EE7">
      <w:headerReference w:type="default" r:id="rId8"/>
      <w:footerReference w:type="default" r:id="rId9"/>
      <w:pgSz w:w="12240" w:h="15840"/>
      <w:pgMar w:top="1985" w:right="1418" w:bottom="1701" w:left="1701" w:header="709" w:footer="1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BDA11" w14:textId="77777777" w:rsidR="00FE4227" w:rsidRDefault="00FE4227" w:rsidP="006679AC">
      <w:r>
        <w:separator/>
      </w:r>
    </w:p>
  </w:endnote>
  <w:endnote w:type="continuationSeparator" w:id="0">
    <w:p w14:paraId="56B0B2A5" w14:textId="77777777" w:rsidR="00FE4227" w:rsidRDefault="00FE4227" w:rsidP="006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enna Light">
    <w:altName w:val="Corbel"/>
    <w:panose1 w:val="0200050300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388313570"/>
      <w:docPartObj>
        <w:docPartGallery w:val="Page Numbers (Bottom of Page)"/>
        <w:docPartUnique/>
      </w:docPartObj>
    </w:sdtPr>
    <w:sdtEndPr/>
    <w:sdtContent>
      <w:sdt>
        <w:sdtPr>
          <w:rPr>
            <w:rFonts w:ascii="Century Gothic" w:hAnsi="Century Gothic"/>
            <w:sz w:val="20"/>
            <w:szCs w:val="20"/>
          </w:rPr>
          <w:id w:val="105697067"/>
          <w:docPartObj>
            <w:docPartGallery w:val="Page Numbers (Top of Page)"/>
            <w:docPartUnique/>
          </w:docPartObj>
        </w:sdtPr>
        <w:sdtEndPr/>
        <w:sdtContent>
          <w:p w14:paraId="2D9B2F50" w14:textId="42F4EC07" w:rsidR="002F41E1" w:rsidRPr="00DE699B" w:rsidRDefault="00DE699B">
            <w:pPr>
              <w:pStyle w:val="Piedepgina"/>
              <w:jc w:val="center"/>
              <w:rPr>
                <w:rFonts w:ascii="Century Gothic" w:hAnsi="Century Gothic"/>
                <w:sz w:val="20"/>
                <w:szCs w:val="20"/>
              </w:rPr>
            </w:pPr>
            <w:r>
              <w:rPr>
                <w:noProof/>
                <w:lang w:eastAsia="es-MX"/>
              </w:rPr>
              <w:drawing>
                <wp:anchor distT="0" distB="0" distL="114300" distR="114300" simplePos="0" relativeHeight="251669504" behindDoc="0" locked="0" layoutInCell="1" allowOverlap="1" wp14:anchorId="6D1F01EA" wp14:editId="599957BB">
                  <wp:simplePos x="0" y="0"/>
                  <wp:positionH relativeFrom="margin">
                    <wp:align>left</wp:align>
                  </wp:positionH>
                  <wp:positionV relativeFrom="paragraph">
                    <wp:posOffset>36195</wp:posOffset>
                  </wp:positionV>
                  <wp:extent cx="5838825" cy="810895"/>
                  <wp:effectExtent l="0" t="0" r="9525"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450Aniv_Control Patrimonial.png"/>
                          <pic:cNvPicPr/>
                        </pic:nvPicPr>
                        <pic:blipFill rotWithShape="1">
                          <a:blip r:embed="rId1" cstate="print">
                            <a:extLst>
                              <a:ext uri="{28A0092B-C50C-407E-A947-70E740481C1C}">
                                <a14:useLocalDpi xmlns:a14="http://schemas.microsoft.com/office/drawing/2010/main" val="0"/>
                              </a:ext>
                            </a:extLst>
                          </a:blip>
                          <a:srcRect t="3781" r="8727" b="29412"/>
                          <a:stretch/>
                        </pic:blipFill>
                        <pic:spPr bwMode="auto">
                          <a:xfrm>
                            <a:off x="0" y="0"/>
                            <a:ext cx="5838825" cy="810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1E1" w:rsidRPr="00DE699B">
              <w:rPr>
                <w:rFonts w:ascii="Century Gothic" w:hAnsi="Century Gothic"/>
                <w:sz w:val="20"/>
                <w:szCs w:val="20"/>
                <w:lang w:val="es-ES"/>
              </w:rPr>
              <w:t xml:space="preserve">Página </w:t>
            </w:r>
            <w:r w:rsidR="002F41E1" w:rsidRPr="00DE699B">
              <w:rPr>
                <w:rFonts w:ascii="Century Gothic" w:hAnsi="Century Gothic"/>
                <w:bCs/>
                <w:sz w:val="20"/>
                <w:szCs w:val="20"/>
              </w:rPr>
              <w:fldChar w:fldCharType="begin"/>
            </w:r>
            <w:r w:rsidR="002F41E1" w:rsidRPr="00DE699B">
              <w:rPr>
                <w:rFonts w:ascii="Century Gothic" w:hAnsi="Century Gothic"/>
                <w:bCs/>
                <w:sz w:val="20"/>
                <w:szCs w:val="20"/>
              </w:rPr>
              <w:instrText>PAGE</w:instrText>
            </w:r>
            <w:r w:rsidR="002F41E1" w:rsidRPr="00DE699B">
              <w:rPr>
                <w:rFonts w:ascii="Century Gothic" w:hAnsi="Century Gothic"/>
                <w:bCs/>
                <w:sz w:val="20"/>
                <w:szCs w:val="20"/>
              </w:rPr>
              <w:fldChar w:fldCharType="separate"/>
            </w:r>
            <w:r w:rsidR="00095E58">
              <w:rPr>
                <w:rFonts w:ascii="Century Gothic" w:hAnsi="Century Gothic"/>
                <w:bCs/>
                <w:noProof/>
                <w:sz w:val="20"/>
                <w:szCs w:val="20"/>
              </w:rPr>
              <w:t>5</w:t>
            </w:r>
            <w:r w:rsidR="002F41E1" w:rsidRPr="00DE699B">
              <w:rPr>
                <w:rFonts w:ascii="Century Gothic" w:hAnsi="Century Gothic"/>
                <w:bCs/>
                <w:sz w:val="20"/>
                <w:szCs w:val="20"/>
              </w:rPr>
              <w:fldChar w:fldCharType="end"/>
            </w:r>
            <w:r w:rsidR="002F41E1" w:rsidRPr="00DE699B">
              <w:rPr>
                <w:rFonts w:ascii="Century Gothic" w:hAnsi="Century Gothic"/>
                <w:sz w:val="20"/>
                <w:szCs w:val="20"/>
                <w:lang w:val="es-ES"/>
              </w:rPr>
              <w:t xml:space="preserve"> de </w:t>
            </w:r>
            <w:r w:rsidR="002F41E1" w:rsidRPr="00DE699B">
              <w:rPr>
                <w:rFonts w:ascii="Century Gothic" w:hAnsi="Century Gothic"/>
                <w:bCs/>
                <w:sz w:val="20"/>
                <w:szCs w:val="20"/>
              </w:rPr>
              <w:fldChar w:fldCharType="begin"/>
            </w:r>
            <w:r w:rsidR="002F41E1" w:rsidRPr="00DE699B">
              <w:rPr>
                <w:rFonts w:ascii="Century Gothic" w:hAnsi="Century Gothic"/>
                <w:bCs/>
                <w:sz w:val="20"/>
                <w:szCs w:val="20"/>
              </w:rPr>
              <w:instrText>NUMPAGES</w:instrText>
            </w:r>
            <w:r w:rsidR="002F41E1" w:rsidRPr="00DE699B">
              <w:rPr>
                <w:rFonts w:ascii="Century Gothic" w:hAnsi="Century Gothic"/>
                <w:bCs/>
                <w:sz w:val="20"/>
                <w:szCs w:val="20"/>
              </w:rPr>
              <w:fldChar w:fldCharType="separate"/>
            </w:r>
            <w:r w:rsidR="00095E58">
              <w:rPr>
                <w:rFonts w:ascii="Century Gothic" w:hAnsi="Century Gothic"/>
                <w:bCs/>
                <w:noProof/>
                <w:sz w:val="20"/>
                <w:szCs w:val="20"/>
              </w:rPr>
              <w:t>5</w:t>
            </w:r>
            <w:r w:rsidR="002F41E1" w:rsidRPr="00DE699B">
              <w:rPr>
                <w:rFonts w:ascii="Century Gothic" w:hAnsi="Century Gothic"/>
                <w:bCs/>
                <w:sz w:val="20"/>
                <w:szCs w:val="20"/>
              </w:rPr>
              <w:fldChar w:fldCharType="end"/>
            </w:r>
          </w:p>
        </w:sdtContent>
      </w:sdt>
    </w:sdtContent>
  </w:sdt>
  <w:p w14:paraId="3572CEA1" w14:textId="77777777" w:rsidR="006679AC" w:rsidRDefault="006679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56CD" w14:textId="77777777" w:rsidR="00FE4227" w:rsidRDefault="00FE4227" w:rsidP="006679AC">
      <w:r>
        <w:separator/>
      </w:r>
    </w:p>
  </w:footnote>
  <w:footnote w:type="continuationSeparator" w:id="0">
    <w:p w14:paraId="62E2FF53" w14:textId="77777777" w:rsidR="00FE4227" w:rsidRDefault="00FE4227" w:rsidP="00667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8968" w14:textId="77777777" w:rsidR="006679AC" w:rsidRDefault="00941979">
    <w:pPr>
      <w:pStyle w:val="Encabezado"/>
    </w:pPr>
    <w:r>
      <w:rPr>
        <w:noProof/>
        <w:lang w:eastAsia="es-MX"/>
      </w:rPr>
      <w:drawing>
        <wp:anchor distT="0" distB="0" distL="114300" distR="114300" simplePos="0" relativeHeight="251666432" behindDoc="1" locked="0" layoutInCell="1" allowOverlap="1" wp14:anchorId="150B3B4F" wp14:editId="57961255">
          <wp:simplePos x="0" y="0"/>
          <wp:positionH relativeFrom="column">
            <wp:posOffset>-41910</wp:posOffset>
          </wp:positionH>
          <wp:positionV relativeFrom="paragraph">
            <wp:posOffset>-212725</wp:posOffset>
          </wp:positionV>
          <wp:extent cx="5857875" cy="771525"/>
          <wp:effectExtent l="0" t="0" r="9525" b="9525"/>
          <wp:wrapTight wrapText="bothSides">
            <wp:wrapPolygon edited="0">
              <wp:start x="1054" y="0"/>
              <wp:lineTo x="632" y="2667"/>
              <wp:lineTo x="0" y="7467"/>
              <wp:lineTo x="0" y="12800"/>
              <wp:lineTo x="1475" y="17600"/>
              <wp:lineTo x="2529" y="17600"/>
              <wp:lineTo x="2318" y="20800"/>
              <wp:lineTo x="2459" y="21333"/>
              <wp:lineTo x="3231" y="21333"/>
              <wp:lineTo x="3512" y="21333"/>
              <wp:lineTo x="15524" y="21333"/>
              <wp:lineTo x="21565" y="20267"/>
              <wp:lineTo x="21565" y="3200"/>
              <wp:lineTo x="15664" y="533"/>
              <wp:lineTo x="3582" y="0"/>
              <wp:lineTo x="1054"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771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6438"/>
    <w:multiLevelType w:val="hybridMultilevel"/>
    <w:tmpl w:val="28385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AC"/>
    <w:rsid w:val="00015657"/>
    <w:rsid w:val="0003431B"/>
    <w:rsid w:val="00056C05"/>
    <w:rsid w:val="00087EF3"/>
    <w:rsid w:val="00095E58"/>
    <w:rsid w:val="000A049A"/>
    <w:rsid w:val="000A26D8"/>
    <w:rsid w:val="000B11FB"/>
    <w:rsid w:val="000C3C23"/>
    <w:rsid w:val="000D7F82"/>
    <w:rsid w:val="0012594D"/>
    <w:rsid w:val="00142D24"/>
    <w:rsid w:val="00174A91"/>
    <w:rsid w:val="00176560"/>
    <w:rsid w:val="00193518"/>
    <w:rsid w:val="001A0D20"/>
    <w:rsid w:val="001A2BBB"/>
    <w:rsid w:val="001C5589"/>
    <w:rsid w:val="001F3CAF"/>
    <w:rsid w:val="001F7A71"/>
    <w:rsid w:val="00203A04"/>
    <w:rsid w:val="002224AD"/>
    <w:rsid w:val="00226C0F"/>
    <w:rsid w:val="002350A0"/>
    <w:rsid w:val="002666D9"/>
    <w:rsid w:val="00270D43"/>
    <w:rsid w:val="0027246B"/>
    <w:rsid w:val="002730F9"/>
    <w:rsid w:val="0027546F"/>
    <w:rsid w:val="00283C25"/>
    <w:rsid w:val="002F16E6"/>
    <w:rsid w:val="002F41E1"/>
    <w:rsid w:val="00324A5A"/>
    <w:rsid w:val="003375C1"/>
    <w:rsid w:val="003457CE"/>
    <w:rsid w:val="0035287A"/>
    <w:rsid w:val="00376934"/>
    <w:rsid w:val="00376C97"/>
    <w:rsid w:val="0039750C"/>
    <w:rsid w:val="003A6A1F"/>
    <w:rsid w:val="003D58FA"/>
    <w:rsid w:val="003D76F4"/>
    <w:rsid w:val="003E0675"/>
    <w:rsid w:val="003E5EB3"/>
    <w:rsid w:val="003F622D"/>
    <w:rsid w:val="003F7B98"/>
    <w:rsid w:val="00415E26"/>
    <w:rsid w:val="00432084"/>
    <w:rsid w:val="004423E6"/>
    <w:rsid w:val="00444D8E"/>
    <w:rsid w:val="00452D3B"/>
    <w:rsid w:val="004716BA"/>
    <w:rsid w:val="004716BE"/>
    <w:rsid w:val="00474289"/>
    <w:rsid w:val="00484B14"/>
    <w:rsid w:val="004A0151"/>
    <w:rsid w:val="004D1C88"/>
    <w:rsid w:val="004D602C"/>
    <w:rsid w:val="004F6BB9"/>
    <w:rsid w:val="005108C8"/>
    <w:rsid w:val="00536E8C"/>
    <w:rsid w:val="00546DD5"/>
    <w:rsid w:val="00553996"/>
    <w:rsid w:val="0057020D"/>
    <w:rsid w:val="005B22A1"/>
    <w:rsid w:val="005C0D44"/>
    <w:rsid w:val="005C13BE"/>
    <w:rsid w:val="005E3647"/>
    <w:rsid w:val="00606463"/>
    <w:rsid w:val="006679AC"/>
    <w:rsid w:val="00667BD7"/>
    <w:rsid w:val="006729FA"/>
    <w:rsid w:val="006760A2"/>
    <w:rsid w:val="006853DD"/>
    <w:rsid w:val="00686785"/>
    <w:rsid w:val="0069644D"/>
    <w:rsid w:val="006B286A"/>
    <w:rsid w:val="006C6601"/>
    <w:rsid w:val="006D5E41"/>
    <w:rsid w:val="006D6BDD"/>
    <w:rsid w:val="006F1E40"/>
    <w:rsid w:val="006F210B"/>
    <w:rsid w:val="006F3E58"/>
    <w:rsid w:val="00706CC8"/>
    <w:rsid w:val="00714FA8"/>
    <w:rsid w:val="007914D2"/>
    <w:rsid w:val="007932FC"/>
    <w:rsid w:val="00797BA3"/>
    <w:rsid w:val="007B34BB"/>
    <w:rsid w:val="007B64E6"/>
    <w:rsid w:val="007E7746"/>
    <w:rsid w:val="00815E9A"/>
    <w:rsid w:val="00834993"/>
    <w:rsid w:val="00842FFD"/>
    <w:rsid w:val="0085153F"/>
    <w:rsid w:val="00866E1B"/>
    <w:rsid w:val="008674C9"/>
    <w:rsid w:val="00876E4B"/>
    <w:rsid w:val="00880677"/>
    <w:rsid w:val="00894DB0"/>
    <w:rsid w:val="008967F3"/>
    <w:rsid w:val="00896C06"/>
    <w:rsid w:val="008A7947"/>
    <w:rsid w:val="008B5D41"/>
    <w:rsid w:val="008F58B5"/>
    <w:rsid w:val="00902F3C"/>
    <w:rsid w:val="00907919"/>
    <w:rsid w:val="00931055"/>
    <w:rsid w:val="00941979"/>
    <w:rsid w:val="00953685"/>
    <w:rsid w:val="0096788E"/>
    <w:rsid w:val="0097129F"/>
    <w:rsid w:val="00971727"/>
    <w:rsid w:val="00980EAB"/>
    <w:rsid w:val="00990AAC"/>
    <w:rsid w:val="009930D7"/>
    <w:rsid w:val="009953CF"/>
    <w:rsid w:val="009965CF"/>
    <w:rsid w:val="0099686B"/>
    <w:rsid w:val="009A0769"/>
    <w:rsid w:val="009B17F8"/>
    <w:rsid w:val="009B3124"/>
    <w:rsid w:val="009C5463"/>
    <w:rsid w:val="009D2464"/>
    <w:rsid w:val="009D3C3A"/>
    <w:rsid w:val="009E2073"/>
    <w:rsid w:val="009E487D"/>
    <w:rsid w:val="009E59DD"/>
    <w:rsid w:val="009E6550"/>
    <w:rsid w:val="009E6FD8"/>
    <w:rsid w:val="009E7A37"/>
    <w:rsid w:val="009F4EBD"/>
    <w:rsid w:val="009F740A"/>
    <w:rsid w:val="00A375E3"/>
    <w:rsid w:val="00A429B0"/>
    <w:rsid w:val="00A46A64"/>
    <w:rsid w:val="00A54130"/>
    <w:rsid w:val="00A56729"/>
    <w:rsid w:val="00A8176A"/>
    <w:rsid w:val="00A85844"/>
    <w:rsid w:val="00A870F7"/>
    <w:rsid w:val="00AB755E"/>
    <w:rsid w:val="00AC62A8"/>
    <w:rsid w:val="00AD3609"/>
    <w:rsid w:val="00B13B9D"/>
    <w:rsid w:val="00B31958"/>
    <w:rsid w:val="00B32ACF"/>
    <w:rsid w:val="00B45CFD"/>
    <w:rsid w:val="00B86848"/>
    <w:rsid w:val="00B86CAF"/>
    <w:rsid w:val="00B94BFB"/>
    <w:rsid w:val="00BD3E7C"/>
    <w:rsid w:val="00BD786F"/>
    <w:rsid w:val="00BF470A"/>
    <w:rsid w:val="00C02195"/>
    <w:rsid w:val="00C10FF3"/>
    <w:rsid w:val="00C46676"/>
    <w:rsid w:val="00C47DCC"/>
    <w:rsid w:val="00C568AA"/>
    <w:rsid w:val="00C570A4"/>
    <w:rsid w:val="00C67123"/>
    <w:rsid w:val="00C73B0E"/>
    <w:rsid w:val="00C77D78"/>
    <w:rsid w:val="00C8047F"/>
    <w:rsid w:val="00C90F52"/>
    <w:rsid w:val="00C961B1"/>
    <w:rsid w:val="00CB01C4"/>
    <w:rsid w:val="00CD61C9"/>
    <w:rsid w:val="00CE0866"/>
    <w:rsid w:val="00CE6D88"/>
    <w:rsid w:val="00CF66CD"/>
    <w:rsid w:val="00D078B1"/>
    <w:rsid w:val="00D1477A"/>
    <w:rsid w:val="00D16718"/>
    <w:rsid w:val="00D176C6"/>
    <w:rsid w:val="00D226C4"/>
    <w:rsid w:val="00D23BED"/>
    <w:rsid w:val="00D36F94"/>
    <w:rsid w:val="00D41A1B"/>
    <w:rsid w:val="00D42977"/>
    <w:rsid w:val="00D451B3"/>
    <w:rsid w:val="00D47EE7"/>
    <w:rsid w:val="00D92AA0"/>
    <w:rsid w:val="00DB4B9D"/>
    <w:rsid w:val="00DC1916"/>
    <w:rsid w:val="00DC1D21"/>
    <w:rsid w:val="00DD058D"/>
    <w:rsid w:val="00DD4388"/>
    <w:rsid w:val="00DE699B"/>
    <w:rsid w:val="00DF7F7F"/>
    <w:rsid w:val="00E07A4E"/>
    <w:rsid w:val="00E14E3F"/>
    <w:rsid w:val="00E15775"/>
    <w:rsid w:val="00E17C46"/>
    <w:rsid w:val="00E347A2"/>
    <w:rsid w:val="00E37E94"/>
    <w:rsid w:val="00E5029D"/>
    <w:rsid w:val="00E700A7"/>
    <w:rsid w:val="00E70C68"/>
    <w:rsid w:val="00E715F0"/>
    <w:rsid w:val="00E86C2D"/>
    <w:rsid w:val="00EF6A0C"/>
    <w:rsid w:val="00F46247"/>
    <w:rsid w:val="00F52FF7"/>
    <w:rsid w:val="00F61DED"/>
    <w:rsid w:val="00F62DBB"/>
    <w:rsid w:val="00F648DF"/>
    <w:rsid w:val="00F67A53"/>
    <w:rsid w:val="00F86CCC"/>
    <w:rsid w:val="00F873E8"/>
    <w:rsid w:val="00FA56D4"/>
    <w:rsid w:val="00FA6EC2"/>
    <w:rsid w:val="00FB646C"/>
    <w:rsid w:val="00FC240F"/>
    <w:rsid w:val="00FC4C40"/>
    <w:rsid w:val="00FE4227"/>
    <w:rsid w:val="00FE7684"/>
    <w:rsid w:val="00FF7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E837"/>
  <w15:chartTrackingRefBased/>
  <w15:docId w15:val="{B2A12341-0D69-4426-B192-FA680F0B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2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9AC"/>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6679AC"/>
  </w:style>
  <w:style w:type="paragraph" w:styleId="Piedepgina">
    <w:name w:val="footer"/>
    <w:basedOn w:val="Normal"/>
    <w:link w:val="PiedepginaCar"/>
    <w:uiPriority w:val="99"/>
    <w:unhideWhenUsed/>
    <w:rsid w:val="006679AC"/>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6679AC"/>
  </w:style>
  <w:style w:type="paragraph" w:styleId="Prrafodelista">
    <w:name w:val="List Paragraph"/>
    <w:basedOn w:val="Normal"/>
    <w:uiPriority w:val="34"/>
    <w:qFormat/>
    <w:rsid w:val="001A2BBB"/>
    <w:pPr>
      <w:ind w:left="720"/>
      <w:contextualSpacing/>
    </w:pPr>
  </w:style>
  <w:style w:type="character" w:styleId="Hipervnculo">
    <w:name w:val="Hyperlink"/>
    <w:basedOn w:val="Fuentedeprrafopredeter"/>
    <w:uiPriority w:val="99"/>
    <w:unhideWhenUsed/>
    <w:rsid w:val="00D36F94"/>
    <w:rPr>
      <w:color w:val="0563C1" w:themeColor="hyperlink"/>
      <w:u w:val="single"/>
    </w:rPr>
  </w:style>
  <w:style w:type="table" w:customStyle="1" w:styleId="Tablaconcuadrcula1">
    <w:name w:val="Tabla con cuadrícula1"/>
    <w:basedOn w:val="Tablanormal"/>
    <w:next w:val="Tablaconcuadrcula"/>
    <w:uiPriority w:val="59"/>
    <w:rsid w:val="003457CE"/>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457CE"/>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457CE"/>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0D7"/>
    <w:rPr>
      <w:sz w:val="16"/>
      <w:szCs w:val="16"/>
    </w:rPr>
  </w:style>
  <w:style w:type="paragraph" w:styleId="Textocomentario">
    <w:name w:val="annotation text"/>
    <w:basedOn w:val="Normal"/>
    <w:link w:val="TextocomentarioCar"/>
    <w:uiPriority w:val="99"/>
    <w:semiHidden/>
    <w:unhideWhenUsed/>
    <w:rsid w:val="009930D7"/>
    <w:rPr>
      <w:sz w:val="20"/>
      <w:szCs w:val="20"/>
    </w:rPr>
  </w:style>
  <w:style w:type="character" w:customStyle="1" w:styleId="TextocomentarioCar">
    <w:name w:val="Texto comentario Car"/>
    <w:basedOn w:val="Fuentedeprrafopredeter"/>
    <w:link w:val="Textocomentario"/>
    <w:uiPriority w:val="99"/>
    <w:semiHidden/>
    <w:rsid w:val="009930D7"/>
    <w:rPr>
      <w:rFonts w:eastAsiaTheme="minorEastAsia"/>
      <w:sz w:val="20"/>
      <w:szCs w:val="20"/>
      <w:lang w:val="es-ES_tradnl" w:eastAsia="es-ES"/>
    </w:rPr>
  </w:style>
  <w:style w:type="paragraph" w:styleId="Textodeglobo">
    <w:name w:val="Balloon Text"/>
    <w:basedOn w:val="Normal"/>
    <w:link w:val="TextodegloboCar"/>
    <w:uiPriority w:val="99"/>
    <w:semiHidden/>
    <w:unhideWhenUsed/>
    <w:rsid w:val="009930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D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BE29-C8BD-46C7-BDA0-2D9A4EF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219</cp:revision>
  <dcterms:created xsi:type="dcterms:W3CDTF">2020-01-23T21:46:00Z</dcterms:created>
  <dcterms:modified xsi:type="dcterms:W3CDTF">2021-08-16T19:19:00Z</dcterms:modified>
</cp:coreProperties>
</file>