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C48A" w14:textId="3653C233" w:rsidR="00A45A8A" w:rsidRDefault="00A45A8A" w:rsidP="00702D75">
      <w:pPr>
        <w:ind w:right="760"/>
        <w:jc w:val="center"/>
        <w:rPr>
          <w:rStyle w:val="Hipervnculo"/>
          <w:rFonts w:ascii="Antenna Light" w:hAnsi="Antenna Light" w:cs="Calibri"/>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Pr="001D097B">
        <w:rPr>
          <w:rStyle w:val="Hipervnculo"/>
          <w:rFonts w:ascii="Antenna Light" w:hAnsi="Antenna Light" w:cs="Calibri"/>
          <w:b/>
          <w:sz w:val="20"/>
          <w:szCs w:val="20"/>
        </w:rPr>
        <w:t>NOTAS DE GESTIÓN ADMINISTRATIVA</w:t>
      </w:r>
      <w:r>
        <w:rPr>
          <w:rStyle w:val="Hipervnculo"/>
          <w:rFonts w:ascii="Antenna Light" w:hAnsi="Antenna Light" w:cs="Calibri"/>
          <w:b/>
          <w:sz w:val="20"/>
          <w:szCs w:val="20"/>
        </w:rPr>
        <w:fldChar w:fldCharType="end"/>
      </w:r>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xml:space="preserve">. (8.8%/ </w:t>
      </w:r>
      <w:proofErr w:type="spellStart"/>
      <w:r w:rsidRPr="001D097B">
        <w:rPr>
          <w:rFonts w:ascii="Antenna Light" w:eastAsia="Times New Roman" w:hAnsi="Antenna Light" w:cs="Arial"/>
          <w:bCs/>
          <w:color w:val="000000"/>
          <w:sz w:val="20"/>
          <w:szCs w:val="20"/>
          <w:lang w:val="es-ES" w:eastAsia="es-ES"/>
        </w:rPr>
        <w:t>Gto</w:t>
      </w:r>
      <w:proofErr w:type="spellEnd"/>
      <w:r w:rsidRPr="001D097B">
        <w:rPr>
          <w:rFonts w:ascii="Antenna Light" w:eastAsia="Times New Roman" w:hAnsi="Antenna Light" w:cs="Arial"/>
          <w:bCs/>
          <w:color w:val="000000"/>
          <w:sz w:val="20"/>
          <w:szCs w:val="20"/>
          <w:lang w:val="es-ES" w:eastAsia="es-ES"/>
        </w:rPr>
        <w:t>.)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2705D26E" w14:textId="394C33AA" w:rsidR="00A45A8A" w:rsidRDefault="00A45A8A"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3B66D667" w14:textId="77777777" w:rsidR="00702D75" w:rsidRPr="001D097B" w:rsidRDefault="00702D75" w:rsidP="00702D75">
      <w:pPr>
        <w:spacing w:before="100" w:beforeAutospacing="1" w:after="100" w:afterAutospacing="1"/>
        <w:ind w:right="760"/>
        <w:rPr>
          <w:rFonts w:ascii="Antenna Light" w:eastAsia="Times New Roman" w:hAnsi="Antenna Light" w:cs="Arial"/>
          <w:bCs/>
          <w:color w:val="000000"/>
          <w:sz w:val="20"/>
          <w:szCs w:val="20"/>
          <w:lang w:val="es-ES" w:eastAsia="es-ES"/>
        </w:rPr>
      </w:pPr>
    </w:p>
    <w:p w14:paraId="25667C23" w14:textId="77777777" w:rsidR="00A45A8A" w:rsidRPr="001D097B" w:rsidRDefault="00A45A8A" w:rsidP="00A45A8A">
      <w:pPr>
        <w:spacing w:before="100" w:beforeAutospacing="1" w:after="100" w:afterAutospacing="1"/>
        <w:ind w:left="1134" w:right="760"/>
        <w:jc w:val="both"/>
        <w:rPr>
          <w:rFonts w:ascii="Antenna Light" w:eastAsia="Times New Roman" w:hAnsi="Antenna Light" w:cs="Arial"/>
          <w:bCs/>
          <w:color w:val="000000"/>
          <w:sz w:val="20"/>
          <w:szCs w:val="20"/>
          <w:lang w:val="es-ES" w:eastAsia="es-ES"/>
        </w:rPr>
      </w:pPr>
    </w:p>
    <w:p w14:paraId="67B50AB4" w14:textId="77777777" w:rsidR="00A45A8A" w:rsidRDefault="00A45A8A" w:rsidP="00A45A8A">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3819B1"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8"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w:t>
      </w:r>
      <w:r w:rsidRPr="001D097B">
        <w:rPr>
          <w:rFonts w:ascii="Antenna Light" w:eastAsia="Times New Roman" w:hAnsi="Antenna Light" w:cs="Arial"/>
          <w:color w:val="000000"/>
          <w:w w:val="103"/>
          <w:sz w:val="20"/>
          <w:szCs w:val="20"/>
          <w:lang w:val="es-ES" w:eastAsia="es-ES"/>
        </w:rPr>
        <w:lastRenderedPageBreak/>
        <w:t xml:space="preserve">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w:t>
      </w:r>
      <w:proofErr w:type="gramStart"/>
      <w:r w:rsidRPr="001D097B">
        <w:rPr>
          <w:rFonts w:ascii="Antenna Light" w:hAnsi="Antenna Light" w:cs="Arial"/>
          <w:color w:val="000000"/>
          <w:w w:val="103"/>
          <w:sz w:val="20"/>
          <w:szCs w:val="20"/>
        </w:rPr>
        <w:t>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w:t>
      </w:r>
      <w:proofErr w:type="gramEnd"/>
      <w:r w:rsidRPr="001D097B">
        <w:rPr>
          <w:rFonts w:ascii="Antenna Light" w:hAnsi="Antenna Light" w:cs="Arial"/>
          <w:color w:val="000000"/>
          <w:w w:val="103"/>
          <w:sz w:val="20"/>
          <w:szCs w:val="20"/>
        </w:rPr>
        <w:t xml:space="preserve">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a que hace referencia la Ley de Disciplina 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02969B9" w14:textId="0B2A08C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w:t>
      </w:r>
      <w:r w:rsidRPr="001D097B">
        <w:rPr>
          <w:rFonts w:ascii="Antenna Light" w:hAnsi="Antenna Light" w:cs="Arial"/>
          <w:color w:val="000000"/>
          <w:w w:val="103"/>
          <w:sz w:val="20"/>
          <w:szCs w:val="20"/>
        </w:rPr>
        <w:lastRenderedPageBreak/>
        <w:t>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Municipio de Celaya Guanajuato se ha mantenido en los primeros lugares a nivel Estatal</w:t>
      </w:r>
      <w:r>
        <w:rPr>
          <w:rFonts w:ascii="Antenna Light" w:hAnsi="Antenna Light" w:cs="Arial"/>
          <w:color w:val="000000"/>
          <w:w w:val="103"/>
          <w:sz w:val="20"/>
          <w:szCs w:val="20"/>
        </w:rPr>
        <w:t>, en cumplimiento en materia de armonización Contable.</w:t>
      </w:r>
    </w:p>
    <w:p w14:paraId="4871EA53" w14:textId="669FF024"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anchor distT="0" distB="0" distL="114300" distR="114300" simplePos="0" relativeHeight="251667456" behindDoc="1" locked="0" layoutInCell="1" allowOverlap="1" wp14:anchorId="7EC9FB8A" wp14:editId="20CC8F37">
            <wp:simplePos x="0" y="0"/>
            <wp:positionH relativeFrom="margin">
              <wp:align>right</wp:align>
            </wp:positionH>
            <wp:positionV relativeFrom="paragraph">
              <wp:posOffset>232410</wp:posOffset>
            </wp:positionV>
            <wp:extent cx="5915771" cy="1830070"/>
            <wp:effectExtent l="0" t="0" r="889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15771" cy="1830070"/>
                    </a:xfrm>
                    <a:prstGeom prst="rect">
                      <a:avLst/>
                    </a:prstGeom>
                  </pic:spPr>
                </pic:pic>
              </a:graphicData>
            </a:graphic>
          </wp:anchor>
        </w:drawing>
      </w:r>
    </w:p>
    <w:p w14:paraId="3C979D66" w14:textId="77777777" w:rsidR="00702D75"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FC9A11E"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3536DD9B" w14:textId="7777777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4E057C1" w14:textId="77777777" w:rsidR="00A45A8A" w:rsidRPr="001D097B" w:rsidRDefault="00A45A8A" w:rsidP="00A45A8A">
      <w:pPr>
        <w:widowControl w:val="0"/>
        <w:autoSpaceDE w:val="0"/>
        <w:autoSpaceDN w:val="0"/>
        <w:adjustRightInd w:val="0"/>
        <w:spacing w:before="6"/>
        <w:ind w:right="760"/>
        <w:jc w:val="center"/>
        <w:rPr>
          <w:rFonts w:ascii="Antenna Light" w:hAnsi="Antenna Light" w:cs="Arial"/>
          <w:color w:val="000000"/>
          <w:w w:val="103"/>
          <w:sz w:val="20"/>
          <w:szCs w:val="20"/>
        </w:rPr>
      </w:pPr>
    </w:p>
    <w:p w14:paraId="7D9355C9"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Pr>
          <w:rFonts w:ascii="Antenna Light" w:hAnsi="Antenna Light" w:cs="Arial"/>
          <w:color w:val="000000"/>
          <w:w w:val="103"/>
          <w:sz w:val="20"/>
          <w:szCs w:val="20"/>
        </w:rPr>
        <w:t xml:space="preserve">       </w:t>
      </w:r>
    </w:p>
    <w:p w14:paraId="184EF596"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28302ED2" w14:textId="77777777" w:rsidR="00A45A8A"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p>
    <w:p w14:paraId="051C6944" w14:textId="77777777" w:rsidR="00702D75" w:rsidRDefault="00A45A8A" w:rsidP="00A45A8A">
      <w:pPr>
        <w:widowControl w:val="0"/>
        <w:autoSpaceDE w:val="0"/>
        <w:autoSpaceDN w:val="0"/>
        <w:adjustRightInd w:val="0"/>
        <w:spacing w:before="263" w:line="322" w:lineRule="exact"/>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 </w:t>
      </w:r>
    </w:p>
    <w:p w14:paraId="5B80F206" w14:textId="629EE74D" w:rsidR="00A45A8A" w:rsidRPr="001D097B" w:rsidRDefault="00A45A8A" w:rsidP="00A45A8A">
      <w:pPr>
        <w:widowControl w:val="0"/>
        <w:autoSpaceDE w:val="0"/>
        <w:autoSpaceDN w:val="0"/>
        <w:adjustRightInd w:val="0"/>
        <w:spacing w:before="263"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lastRenderedPageBreak/>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lastRenderedPageBreak/>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C2CB083" w14:textId="77777777" w:rsidR="00A45A8A"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197C5328" w14:textId="77777777"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rendición 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El Municipio se encuentra adherido y cumpliendo en tiempo y forma ante la </w:t>
      </w:r>
      <w:proofErr w:type="gramStart"/>
      <w:r w:rsidRPr="001D097B">
        <w:rPr>
          <w:rFonts w:ascii="Antenna Light" w:hAnsi="Antenna Light" w:cs="Arial"/>
          <w:sz w:val="20"/>
          <w:szCs w:val="20"/>
        </w:rPr>
        <w:t>Secretaria</w:t>
      </w:r>
      <w:proofErr w:type="gramEnd"/>
      <w:r w:rsidRPr="001D097B">
        <w:rPr>
          <w:rFonts w:ascii="Antenna Light" w:hAnsi="Antenna Light" w:cs="Arial"/>
          <w:sz w:val="20"/>
          <w:szCs w:val="20"/>
        </w:rPr>
        <w:t xml:space="preserve"> de Hacienda y Crédito Público, respecto al beneficio del ISR Participable, a que alude el artículo 3-B de la Ley de Coordinación Fiscal, así como al Decreto para la Regularización del pago de Derechos </w:t>
      </w:r>
      <w:r w:rsidRPr="001D097B">
        <w:rPr>
          <w:rFonts w:ascii="Antenna Light" w:hAnsi="Antenna Light" w:cs="Arial"/>
          <w:sz w:val="20"/>
          <w:szCs w:val="20"/>
        </w:rPr>
        <w:lastRenderedPageBreak/>
        <w:t>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extravió, de tal forma que la 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55D0194" w14:textId="40213719" w:rsidR="00A45A8A" w:rsidRDefault="00A45A8A"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554B8A2E" w14:textId="4E00E73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13B32763" w14:textId="5AFAC4D9"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5EA866" w14:textId="076F3CA8"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5176A636" w14:textId="4FD353C3"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9413A20" w14:textId="565FD91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3618C7D6" w14:textId="6FB72D36"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14E73F7" w14:textId="19C3B49B"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03F46B0A" w14:textId="52BB121C"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lastRenderedPageBreak/>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31 DE DICIEMBRE</w:t>
            </w:r>
            <w:r>
              <w:rPr>
                <w:rFonts w:ascii="Arial" w:eastAsia="Times New Roman" w:hAnsi="Arial" w:cs="Arial"/>
                <w:b/>
                <w:bCs/>
                <w:color w:val="FFFFFF"/>
                <w:sz w:val="18"/>
                <w:szCs w:val="18"/>
                <w:lang w:eastAsia="es-MX"/>
              </w:rPr>
              <w:t xml:space="preserve"> </w:t>
            </w:r>
            <w:r w:rsidRPr="00DA5B3B">
              <w:rPr>
                <w:rFonts w:ascii="Arial" w:eastAsia="Times New Roman" w:hAnsi="Arial" w:cs="Arial"/>
                <w:b/>
                <w:bCs/>
                <w:color w:val="FFFFFF"/>
                <w:sz w:val="18"/>
                <w:szCs w:val="18"/>
                <w:lang w:eastAsia="es-MX"/>
              </w:rPr>
              <w:t>DEL 2021</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A45A8A"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349,574,520.51</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387,728,578.83</w:t>
            </w:r>
          </w:p>
        </w:tc>
      </w:tr>
      <w:tr w:rsidR="00A45A8A"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1,500,000.00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774,767.10</w:t>
            </w:r>
          </w:p>
        </w:tc>
      </w:tr>
      <w:tr w:rsidR="00A45A8A"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162,658,514.43</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154,873,830.39</w:t>
            </w:r>
          </w:p>
        </w:tc>
      </w:tr>
      <w:tr w:rsidR="00A45A8A"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26,863,440.48</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24,792,862.95</w:t>
            </w:r>
          </w:p>
        </w:tc>
      </w:tr>
      <w:tr w:rsidR="00A45A8A"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74,897,776.91</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77,352,891.04</w:t>
            </w:r>
          </w:p>
        </w:tc>
      </w:tr>
      <w:tr w:rsidR="00A45A8A"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1,343,609,713.39</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1,280,354,796.04</w:t>
            </w:r>
          </w:p>
        </w:tc>
      </w:tr>
      <w:tr w:rsidR="00A45A8A" w:rsidRPr="00DA5B3B" w14:paraId="5770D0B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04714E" w14:textId="77777777" w:rsidR="00A45A8A" w:rsidRPr="00DA5B3B" w:rsidRDefault="00A45A8A" w:rsidP="000F784F">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Ingresos Derivados de Financiamientos</w:t>
            </w:r>
          </w:p>
        </w:tc>
        <w:tc>
          <w:tcPr>
            <w:tcW w:w="1860" w:type="dxa"/>
            <w:tcBorders>
              <w:top w:val="nil"/>
              <w:left w:val="nil"/>
              <w:bottom w:val="single" w:sz="4" w:space="0" w:color="auto"/>
              <w:right w:val="single" w:sz="4" w:space="0" w:color="auto"/>
            </w:tcBorders>
            <w:shd w:val="clear" w:color="auto" w:fill="auto"/>
            <w:noWrap/>
            <w:vAlign w:val="center"/>
            <w:hideMark/>
          </w:tcPr>
          <w:p w14:paraId="147B8665"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299,876,245.99</w:t>
            </w:r>
          </w:p>
        </w:tc>
        <w:tc>
          <w:tcPr>
            <w:tcW w:w="2040" w:type="dxa"/>
            <w:tcBorders>
              <w:top w:val="nil"/>
              <w:left w:val="nil"/>
              <w:bottom w:val="single" w:sz="4" w:space="0" w:color="auto"/>
              <w:right w:val="single" w:sz="4" w:space="0" w:color="auto"/>
            </w:tcBorders>
            <w:shd w:val="clear" w:color="auto" w:fill="auto"/>
            <w:noWrap/>
            <w:vAlign w:val="center"/>
            <w:hideMark/>
          </w:tcPr>
          <w:p w14:paraId="61DF87FD" w14:textId="77777777" w:rsidR="00A45A8A" w:rsidRPr="00DA5B3B" w:rsidRDefault="00A45A8A" w:rsidP="000F784F">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213,332,121.01</w:t>
            </w:r>
          </w:p>
        </w:tc>
      </w:tr>
      <w:tr w:rsidR="00A45A8A"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A45A8A" w:rsidRPr="00DA5B3B" w:rsidRDefault="00A45A8A" w:rsidP="000F784F">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77777777" w:rsidR="00A45A8A" w:rsidRPr="00DA5B3B" w:rsidRDefault="00A45A8A" w:rsidP="000F784F">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2,258,980,211.71</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77777777" w:rsidR="00A45A8A" w:rsidRPr="00DA5B3B" w:rsidRDefault="00A45A8A" w:rsidP="000F784F">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2,139,209,847.36</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77777777"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2</w:t>
      </w:r>
      <w:r>
        <w:rPr>
          <w:rFonts w:ascii="Antenna Light" w:eastAsia="Times New Roman" w:hAnsi="Antenna Light" w:cs="Arial"/>
          <w:color w:val="000000"/>
          <w:w w:val="105"/>
          <w:sz w:val="20"/>
          <w:szCs w:val="20"/>
          <w:lang w:val="es-ES" w:eastAsia="es-ES"/>
        </w:rPr>
        <w:t>17</w:t>
      </w:r>
      <w:r w:rsidRPr="001D097B">
        <w:rPr>
          <w:rFonts w:ascii="Antenna Light" w:eastAsia="Times New Roman" w:hAnsi="Antenna Light" w:cs="Arial"/>
          <w:color w:val="000000"/>
          <w:w w:val="105"/>
          <w:sz w:val="20"/>
          <w:szCs w:val="20"/>
          <w:lang w:val="es-ES" w:eastAsia="es-ES"/>
        </w:rPr>
        <w:t>.</w:t>
      </w:r>
      <w:r>
        <w:rPr>
          <w:rFonts w:ascii="Antenna Light" w:eastAsia="Times New Roman" w:hAnsi="Antenna Light" w:cs="Arial"/>
          <w:color w:val="000000"/>
          <w:w w:val="105"/>
          <w:sz w:val="20"/>
          <w:szCs w:val="20"/>
          <w:lang w:val="es-ES" w:eastAsia="es-ES"/>
        </w:rPr>
        <w:t>17</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361A843A" w14:textId="77777777"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16</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21</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w:t>
      </w:r>
      <w:proofErr w:type="gramStart"/>
      <w:r w:rsidRPr="001D097B">
        <w:rPr>
          <w:rFonts w:ascii="Antenna Light" w:eastAsia="Times New Roman" w:hAnsi="Antenna Light" w:cs="Arial"/>
          <w:color w:val="000000"/>
          <w:spacing w:val="-1"/>
          <w:sz w:val="20"/>
          <w:szCs w:val="20"/>
          <w:lang w:val="es-ES" w:eastAsia="es-ES"/>
        </w:rPr>
        <w:t>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w:t>
      </w:r>
      <w:proofErr w:type="spellStart"/>
      <w:proofErr w:type="gramEnd"/>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w:t>
      </w:r>
      <w:proofErr w:type="spellStart"/>
      <w:r>
        <w:rPr>
          <w:rFonts w:ascii="Antenna Light" w:eastAsia="Times New Roman" w:hAnsi="Antenna Light" w:cs="Arial"/>
          <w:color w:val="000000"/>
          <w:spacing w:val="-1"/>
          <w:sz w:val="20"/>
          <w:szCs w:val="20"/>
          <w:lang w:val="es-ES" w:eastAsia="es-ES"/>
        </w:rPr>
        <w:t>vra</w:t>
      </w:r>
      <w:proofErr w:type="spellEnd"/>
      <w:r w:rsidRPr="001D097B">
        <w:rPr>
          <w:rFonts w:ascii="Antenna Light" w:eastAsia="Times New Roman" w:hAnsi="Antenna Light" w:cs="Arial"/>
          <w:color w:val="000000"/>
          <w:spacing w:val="-1"/>
          <w:sz w:val="20"/>
          <w:szCs w:val="20"/>
          <w:lang w:val="es-ES" w:eastAsia="es-ES"/>
        </w:rPr>
        <w:t>”</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3819B1" w:rsidP="00A45A8A">
      <w:pPr>
        <w:widowControl w:val="0"/>
        <w:autoSpaceDE w:val="0"/>
        <w:autoSpaceDN w:val="0"/>
        <w:adjustRightInd w:val="0"/>
        <w:spacing w:before="278"/>
        <w:ind w:right="760"/>
        <w:rPr>
          <w:sz w:val="18"/>
          <w:szCs w:val="18"/>
        </w:rPr>
      </w:pPr>
      <w:hyperlink r:id="rId10"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lastRenderedPageBreak/>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7777777"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Fitch Ratings subió la calificación nacional de largo plazo del municipio de Celaya, Guanajuato, a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desde ‘</w:t>
      </w:r>
      <w:proofErr w:type="gramStart"/>
      <w:r w:rsidRPr="00DA049B">
        <w:rPr>
          <w:rFonts w:ascii="Antenna Light" w:eastAsia="Times New Roman" w:hAnsi="Antenna Light" w:cs="Arial"/>
          <w:color w:val="000000"/>
          <w:w w:val="102"/>
          <w:sz w:val="20"/>
          <w:szCs w:val="20"/>
          <w:lang w:val="es-ES" w:eastAsia="es-ES"/>
        </w:rPr>
        <w:t>AA(</w:t>
      </w:r>
      <w:proofErr w:type="spellStart"/>
      <w:proofErr w:type="gramEnd"/>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La Perspectiva es Estable.</w:t>
      </w:r>
    </w:p>
    <w:p w14:paraId="2D84A922" w14:textId="77777777"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lastRenderedPageBreak/>
        <w:t>La mejora en la calificación refleja la generación de buenos balances operativos en los últimos años que han permitido generar métricas de la sostenibilidad de la deuda favorables frente a pares, gracias a una planeación y políticas administrativas adecuadas, incluso considerando el impacto de la contingencia sanitaria. La calificación se deriva de un perfil de riesgo de ‘Rango Medio Bajo’ y una sostenibilidad de la deuda de ‘</w:t>
      </w:r>
      <w:proofErr w:type="spellStart"/>
      <w:r w:rsidRPr="00DA049B">
        <w:rPr>
          <w:rFonts w:ascii="Antenna Light" w:eastAsia="Times New Roman" w:hAnsi="Antenna Light" w:cs="Arial"/>
          <w:color w:val="000000"/>
          <w:w w:val="102"/>
          <w:sz w:val="20"/>
          <w:szCs w:val="20"/>
          <w:lang w:val="es-ES" w:eastAsia="es-ES"/>
        </w:rPr>
        <w:t>aa</w:t>
      </w:r>
      <w:proofErr w:type="spellEnd"/>
      <w:r w:rsidRPr="00DA049B">
        <w:rPr>
          <w:rFonts w:ascii="Antenna Light" w:eastAsia="Times New Roman" w:hAnsi="Antenna Light" w:cs="Arial"/>
          <w:color w:val="000000"/>
          <w:w w:val="102"/>
          <w:sz w:val="20"/>
          <w:szCs w:val="20"/>
          <w:lang w:val="es-ES" w:eastAsia="es-ES"/>
        </w:rPr>
        <w:t>’ bajo el escenario de calificación. La Perspectiva Estable indica la expectativa de Fitch de que las métricas de deuda permanecerán en línea con su escenario de calificación proyectado.</w:t>
      </w:r>
    </w:p>
    <w:p w14:paraId="55593DF0" w14:textId="77777777"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1"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59E27783" w14:textId="00F29D44" w:rsidR="000E7512" w:rsidRPr="00D01F25" w:rsidRDefault="000E7512" w:rsidP="00D01F25">
      <w:pPr>
        <w:jc w:val="both"/>
        <w:rPr>
          <w:rFonts w:ascii="Antenna ExtraLight" w:eastAsia="Arial Unicode MS" w:hAnsi="Antenna ExtraLight" w:cs="Microsoft Tai Le"/>
          <w:bCs/>
          <w:sz w:val="16"/>
          <w:szCs w:val="16"/>
        </w:rPr>
      </w:pPr>
    </w:p>
    <w:sectPr w:rsidR="000E7512" w:rsidRPr="00D01F25" w:rsidSect="00704343">
      <w:headerReference w:type="default" r:id="rId12"/>
      <w:footerReference w:type="default" r:id="rId13"/>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E3EB" w14:textId="77777777" w:rsidR="003819B1" w:rsidRDefault="003819B1" w:rsidP="00704343">
      <w:r>
        <w:separator/>
      </w:r>
    </w:p>
  </w:endnote>
  <w:endnote w:type="continuationSeparator" w:id="0">
    <w:p w14:paraId="7D03B393" w14:textId="77777777" w:rsidR="003819B1" w:rsidRDefault="003819B1"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enna Light">
    <w:altName w:val="Calibri"/>
    <w:panose1 w:val="00000000000000000000"/>
    <w:charset w:val="00"/>
    <w:family w:val="modern"/>
    <w:notTrueType/>
    <w:pitch w:val="variable"/>
    <w:sig w:usb0="00000003" w:usb1="5000204A" w:usb2="00000000" w:usb3="00000000" w:csb0="00000001" w:csb1="00000000"/>
  </w:font>
  <w:font w:name="Antenna ExtraLight">
    <w:altName w:val="Corbel"/>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8C60" w14:textId="77777777" w:rsidR="003819B1" w:rsidRDefault="003819B1" w:rsidP="00704343">
      <w:r>
        <w:separator/>
      </w:r>
    </w:p>
  </w:footnote>
  <w:footnote w:type="continuationSeparator" w:id="0">
    <w:p w14:paraId="153A6A50" w14:textId="77777777" w:rsidR="003819B1" w:rsidRDefault="003819B1"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3CF0"/>
    <w:rsid w:val="000403B5"/>
    <w:rsid w:val="000479D5"/>
    <w:rsid w:val="00047BC9"/>
    <w:rsid w:val="000640F8"/>
    <w:rsid w:val="000674B2"/>
    <w:rsid w:val="00077434"/>
    <w:rsid w:val="00083707"/>
    <w:rsid w:val="00084971"/>
    <w:rsid w:val="0008632C"/>
    <w:rsid w:val="000978FE"/>
    <w:rsid w:val="00097BF1"/>
    <w:rsid w:val="000A33EB"/>
    <w:rsid w:val="000A43F2"/>
    <w:rsid w:val="000B0092"/>
    <w:rsid w:val="000B628B"/>
    <w:rsid w:val="000C31C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515B"/>
    <w:rsid w:val="001472F7"/>
    <w:rsid w:val="00152B7D"/>
    <w:rsid w:val="001530B7"/>
    <w:rsid w:val="00153262"/>
    <w:rsid w:val="00163B7D"/>
    <w:rsid w:val="00167FB0"/>
    <w:rsid w:val="001832AF"/>
    <w:rsid w:val="001917B1"/>
    <w:rsid w:val="001A17F8"/>
    <w:rsid w:val="001B1730"/>
    <w:rsid w:val="001C38D5"/>
    <w:rsid w:val="001D3A29"/>
    <w:rsid w:val="001D6F8C"/>
    <w:rsid w:val="001E14D8"/>
    <w:rsid w:val="001E186C"/>
    <w:rsid w:val="001E5E15"/>
    <w:rsid w:val="001E615E"/>
    <w:rsid w:val="001F14EE"/>
    <w:rsid w:val="00225263"/>
    <w:rsid w:val="002260EE"/>
    <w:rsid w:val="00236EF4"/>
    <w:rsid w:val="002528BB"/>
    <w:rsid w:val="00255467"/>
    <w:rsid w:val="00277C29"/>
    <w:rsid w:val="00285EBE"/>
    <w:rsid w:val="00293BD1"/>
    <w:rsid w:val="00295559"/>
    <w:rsid w:val="002A6640"/>
    <w:rsid w:val="002B5913"/>
    <w:rsid w:val="002B70BA"/>
    <w:rsid w:val="002C11BB"/>
    <w:rsid w:val="002C59E9"/>
    <w:rsid w:val="002C5D70"/>
    <w:rsid w:val="002E11BE"/>
    <w:rsid w:val="002E2BFD"/>
    <w:rsid w:val="002F7BCB"/>
    <w:rsid w:val="0032155F"/>
    <w:rsid w:val="0033488B"/>
    <w:rsid w:val="00347BC5"/>
    <w:rsid w:val="00352689"/>
    <w:rsid w:val="00366BEA"/>
    <w:rsid w:val="0036709A"/>
    <w:rsid w:val="00377EB8"/>
    <w:rsid w:val="003819B1"/>
    <w:rsid w:val="00391FCA"/>
    <w:rsid w:val="003A25A8"/>
    <w:rsid w:val="003B3C17"/>
    <w:rsid w:val="003B487F"/>
    <w:rsid w:val="003B5FC1"/>
    <w:rsid w:val="003C15C9"/>
    <w:rsid w:val="003D143B"/>
    <w:rsid w:val="003D41DC"/>
    <w:rsid w:val="003D6415"/>
    <w:rsid w:val="003F5D01"/>
    <w:rsid w:val="0040318E"/>
    <w:rsid w:val="00403CEC"/>
    <w:rsid w:val="004123C3"/>
    <w:rsid w:val="00412835"/>
    <w:rsid w:val="004148D4"/>
    <w:rsid w:val="00416634"/>
    <w:rsid w:val="00423AE7"/>
    <w:rsid w:val="0042557B"/>
    <w:rsid w:val="004313B6"/>
    <w:rsid w:val="0044035C"/>
    <w:rsid w:val="00465D04"/>
    <w:rsid w:val="00466F3F"/>
    <w:rsid w:val="0046745F"/>
    <w:rsid w:val="004A09C3"/>
    <w:rsid w:val="004C4B56"/>
    <w:rsid w:val="004E0C3D"/>
    <w:rsid w:val="00501B34"/>
    <w:rsid w:val="00517B91"/>
    <w:rsid w:val="00517F71"/>
    <w:rsid w:val="005335CE"/>
    <w:rsid w:val="00563F37"/>
    <w:rsid w:val="00576D73"/>
    <w:rsid w:val="005854E7"/>
    <w:rsid w:val="0059126E"/>
    <w:rsid w:val="00591581"/>
    <w:rsid w:val="005973EB"/>
    <w:rsid w:val="005A2F22"/>
    <w:rsid w:val="005B4121"/>
    <w:rsid w:val="005C13E6"/>
    <w:rsid w:val="005C373B"/>
    <w:rsid w:val="005D05A4"/>
    <w:rsid w:val="005D40B6"/>
    <w:rsid w:val="005D5080"/>
    <w:rsid w:val="005D628F"/>
    <w:rsid w:val="005E21AF"/>
    <w:rsid w:val="005E49C7"/>
    <w:rsid w:val="00617336"/>
    <w:rsid w:val="00626859"/>
    <w:rsid w:val="00654DEA"/>
    <w:rsid w:val="006602E4"/>
    <w:rsid w:val="0066265F"/>
    <w:rsid w:val="00663EBF"/>
    <w:rsid w:val="006726C8"/>
    <w:rsid w:val="006824D7"/>
    <w:rsid w:val="00684764"/>
    <w:rsid w:val="00686176"/>
    <w:rsid w:val="006874E6"/>
    <w:rsid w:val="00692F7C"/>
    <w:rsid w:val="006A53D0"/>
    <w:rsid w:val="006C1A1B"/>
    <w:rsid w:val="006C551F"/>
    <w:rsid w:val="006C640E"/>
    <w:rsid w:val="006E022A"/>
    <w:rsid w:val="006E58BF"/>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B6FA8"/>
    <w:rsid w:val="007C1657"/>
    <w:rsid w:val="007C507A"/>
    <w:rsid w:val="007D3964"/>
    <w:rsid w:val="007E1AD8"/>
    <w:rsid w:val="007E1B07"/>
    <w:rsid w:val="007E2746"/>
    <w:rsid w:val="008102C4"/>
    <w:rsid w:val="00827CF3"/>
    <w:rsid w:val="00846346"/>
    <w:rsid w:val="00855362"/>
    <w:rsid w:val="00862DC4"/>
    <w:rsid w:val="00871411"/>
    <w:rsid w:val="00871BB0"/>
    <w:rsid w:val="008736C7"/>
    <w:rsid w:val="0087644A"/>
    <w:rsid w:val="0088398A"/>
    <w:rsid w:val="008876FC"/>
    <w:rsid w:val="008909CC"/>
    <w:rsid w:val="00892819"/>
    <w:rsid w:val="00893B6C"/>
    <w:rsid w:val="0089422A"/>
    <w:rsid w:val="008A782E"/>
    <w:rsid w:val="008B3F44"/>
    <w:rsid w:val="008B549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623BE"/>
    <w:rsid w:val="009770AD"/>
    <w:rsid w:val="00983AE7"/>
    <w:rsid w:val="0098544F"/>
    <w:rsid w:val="00995844"/>
    <w:rsid w:val="009A2FC4"/>
    <w:rsid w:val="009C51EA"/>
    <w:rsid w:val="009E11E3"/>
    <w:rsid w:val="009E2FCB"/>
    <w:rsid w:val="009E35F1"/>
    <w:rsid w:val="009F2E8A"/>
    <w:rsid w:val="00A0138F"/>
    <w:rsid w:val="00A11B61"/>
    <w:rsid w:val="00A1721A"/>
    <w:rsid w:val="00A175B8"/>
    <w:rsid w:val="00A30E67"/>
    <w:rsid w:val="00A35CE3"/>
    <w:rsid w:val="00A4535F"/>
    <w:rsid w:val="00A45A8A"/>
    <w:rsid w:val="00A50B03"/>
    <w:rsid w:val="00A50E62"/>
    <w:rsid w:val="00A510B9"/>
    <w:rsid w:val="00A87CCA"/>
    <w:rsid w:val="00AA0A2C"/>
    <w:rsid w:val="00AA1D0E"/>
    <w:rsid w:val="00AA2B9C"/>
    <w:rsid w:val="00AA5581"/>
    <w:rsid w:val="00AB6382"/>
    <w:rsid w:val="00AD56E1"/>
    <w:rsid w:val="00AD6FC6"/>
    <w:rsid w:val="00B10001"/>
    <w:rsid w:val="00B12FB3"/>
    <w:rsid w:val="00B27118"/>
    <w:rsid w:val="00B561C0"/>
    <w:rsid w:val="00B647B0"/>
    <w:rsid w:val="00B760C4"/>
    <w:rsid w:val="00B816DA"/>
    <w:rsid w:val="00B921E5"/>
    <w:rsid w:val="00BA3BD8"/>
    <w:rsid w:val="00BA62C9"/>
    <w:rsid w:val="00BB00FF"/>
    <w:rsid w:val="00BB01E5"/>
    <w:rsid w:val="00BB16D5"/>
    <w:rsid w:val="00BD458F"/>
    <w:rsid w:val="00BE02CC"/>
    <w:rsid w:val="00BE077B"/>
    <w:rsid w:val="00BE7A45"/>
    <w:rsid w:val="00BF505A"/>
    <w:rsid w:val="00C03444"/>
    <w:rsid w:val="00C07845"/>
    <w:rsid w:val="00C14DB1"/>
    <w:rsid w:val="00C14F72"/>
    <w:rsid w:val="00C17223"/>
    <w:rsid w:val="00C244C2"/>
    <w:rsid w:val="00C51167"/>
    <w:rsid w:val="00C6560C"/>
    <w:rsid w:val="00C7174D"/>
    <w:rsid w:val="00C846D2"/>
    <w:rsid w:val="00C91F5D"/>
    <w:rsid w:val="00C927DE"/>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D049A"/>
    <w:rsid w:val="00DD3CC8"/>
    <w:rsid w:val="00DE4D8C"/>
    <w:rsid w:val="00E06A53"/>
    <w:rsid w:val="00E12529"/>
    <w:rsid w:val="00E16E44"/>
    <w:rsid w:val="00E20840"/>
    <w:rsid w:val="00E21C71"/>
    <w:rsid w:val="00E244DF"/>
    <w:rsid w:val="00E25101"/>
    <w:rsid w:val="00E33591"/>
    <w:rsid w:val="00E4741C"/>
    <w:rsid w:val="00E570F7"/>
    <w:rsid w:val="00E6226D"/>
    <w:rsid w:val="00E64276"/>
    <w:rsid w:val="00E9391B"/>
    <w:rsid w:val="00E97BB1"/>
    <w:rsid w:val="00EA06D0"/>
    <w:rsid w:val="00EA6FAA"/>
    <w:rsid w:val="00EB1657"/>
    <w:rsid w:val="00EC2303"/>
    <w:rsid w:val="00EE04C2"/>
    <w:rsid w:val="00EE58CC"/>
    <w:rsid w:val="00EF4C64"/>
    <w:rsid w:val="00EF6226"/>
    <w:rsid w:val="00EF6BBF"/>
    <w:rsid w:val="00F23511"/>
    <w:rsid w:val="00F27156"/>
    <w:rsid w:val="00F277C4"/>
    <w:rsid w:val="00F36F6C"/>
    <w:rsid w:val="00F629DC"/>
    <w:rsid w:val="00F642B1"/>
    <w:rsid w:val="00F76066"/>
    <w:rsid w:val="00F760F1"/>
    <w:rsid w:val="00F7771A"/>
    <w:rsid w:val="00F92B98"/>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Nt60LP-JXSuED5mZw8VwjzighD2q7-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chmexi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tchratings.com/research/es/international-public-finance/fitch-affirms-at-aaa-mex-vra-rating-of-loan-from-celaya-guanajuato-16-06-2021"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3055</Words>
  <Characters>16806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Fany</cp:lastModifiedBy>
  <cp:revision>2</cp:revision>
  <cp:lastPrinted>2022-01-14T17:15:00Z</cp:lastPrinted>
  <dcterms:created xsi:type="dcterms:W3CDTF">2022-02-04T19:37:00Z</dcterms:created>
  <dcterms:modified xsi:type="dcterms:W3CDTF">2022-02-04T19:37:00Z</dcterms:modified>
</cp:coreProperties>
</file>