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98"/>
        <w:gridCol w:w="1689"/>
        <w:gridCol w:w="8268"/>
        <w:gridCol w:w="1919"/>
      </w:tblGrid>
      <w:tr>
        <w:trPr>
          <w:trHeight w:val="567"/>
        </w:trPr>
        <w:tc>
          <w:tcPr>
            <w:tcW w:w="1627" w:type="dxa"/>
            <w:vMerge w:val="restart"/>
            <w:tcBorders>
              <w:right w:val="single" w:sz="4" w:space="0" w:color="auto"/>
            </w:tcBorders>
          </w:tcPr>
          <w:p>
            <w:pPr>
              <w:pStyle w:val="Textoindependiente"/>
              <w:widowControl w:val="0"/>
              <w:rPr>
                <w:rFonts w:ascii="Calibri" w:hAnsi="Calibri" w:cs="Arial"/>
                <w:sz w:val="2"/>
                <w:szCs w:val="2"/>
                <w:lang w:val="es-E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449070" cy="767715"/>
                  <wp:effectExtent l="0" t="0" r="0" b="0"/>
                  <wp:docPr id="1" name="Imagen 8" descr="Sin título:Users:mdconsulting:Documents:01 CELAYA:EP:2 GOBIERNO:02 DISEÑOS:03 HOJA MEMBRETADA:01 superi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Sin título:Users:mdconsulting:Documents:01 CELAYA:EP:2 GOBIERNO:02 DISEÑOS:03 HOJA MEMBRETADA:01 superi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4" r="60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vMerge w:val="restart"/>
            <w:tcBorders>
              <w:left w:val="single" w:sz="4" w:space="0" w:color="auto"/>
            </w:tcBorders>
          </w:tcPr>
          <w:p>
            <w:pPr>
              <w:pStyle w:val="Textoindependiente"/>
              <w:widowControl w:val="0"/>
              <w:rPr>
                <w:rFonts w:ascii="Calibri" w:hAnsi="Calibri" w:cs="Arial"/>
                <w:sz w:val="2"/>
                <w:szCs w:val="2"/>
                <w:lang w:val="es-ES"/>
              </w:rPr>
            </w:pPr>
            <w:r>
              <w:rPr>
                <w:rFonts w:ascii="Calibri" w:hAnsi="Calibri" w:cs="Arial"/>
                <w:noProof/>
                <w:sz w:val="2"/>
                <w:szCs w:val="2"/>
                <w:lang w:val="es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3pt;margin-top:1.3pt;width:47.15pt;height:54.45pt;z-index:251659264;mso-position-horizontal-relative:text;mso-position-vertical-relative:text" filled="t" strokecolor="#333" strokeweight=".25pt">
                  <v:fill opacity=".5"/>
                  <v:imagedata r:id="rId9" o:title=""/>
                  <w10:wrap type="topAndBottom"/>
                </v:shape>
                <o:OLEObject Type="Embed" ProgID="StaticMetafile" ShapeID="_x0000_s1026" DrawAspect="Content" ObjectID="_1670158560" r:id="rId10"/>
              </w:object>
            </w:r>
          </w:p>
        </w:tc>
        <w:tc>
          <w:tcPr>
            <w:tcW w:w="9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tulo"/>
              <w:widowControl w:val="0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MUNICIPIO DE CELAYA</w:t>
            </w:r>
          </w:p>
          <w:p>
            <w:pPr>
              <w:pStyle w:val="Textoindependiente"/>
              <w:widowControl w:val="0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bCs/>
                <w:sz w:val="20"/>
                <w:szCs w:val="18"/>
              </w:rPr>
              <w:t>DIRECCIÓN GENERAL DE OBRAS PÚBLICAS</w:t>
            </w:r>
            <w:r>
              <w:rPr>
                <w:rFonts w:ascii="Calibri" w:hAnsi="Calibri" w:cs="Arial"/>
                <w:b/>
                <w:bCs/>
                <w:color w:val="002060"/>
                <w:sz w:val="32"/>
                <w:szCs w:val="28"/>
              </w:rPr>
              <w:t xml:space="preserve"> </w:t>
            </w:r>
          </w:p>
        </w:tc>
        <w:tc>
          <w:tcPr>
            <w:tcW w:w="1960" w:type="dxa"/>
            <w:vMerge w:val="restart"/>
          </w:tcPr>
          <w:p>
            <w:pPr>
              <w:pStyle w:val="Textoindependiente"/>
              <w:widowControl w:val="0"/>
              <w:jc w:val="right"/>
              <w:rPr>
                <w:rFonts w:ascii="Calibri" w:hAnsi="Calibri" w:cs="Arial"/>
                <w:sz w:val="2"/>
                <w:szCs w:val="2"/>
                <w:lang w:val="es-ES"/>
              </w:rPr>
            </w:pPr>
            <w:r>
              <w:rPr>
                <w:rFonts w:ascii="Calibri" w:hAnsi="Calibri" w:cs="Arial"/>
                <w:noProof/>
                <w:sz w:val="2"/>
                <w:szCs w:val="2"/>
                <w:lang w:val="es-ES"/>
              </w:rPr>
              <w:drawing>
                <wp:inline distT="0" distB="0" distL="0" distR="0">
                  <wp:extent cx="923290" cy="741680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99"/>
        </w:trPr>
        <w:tc>
          <w:tcPr>
            <w:tcW w:w="16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Textoindependiente"/>
              <w:widowControl w:val="0"/>
              <w:rPr>
                <w:rFonts w:ascii="Calibri" w:hAnsi="Calibri" w:cs="Arial"/>
                <w:sz w:val="15"/>
                <w:szCs w:val="15"/>
                <w:lang w:val="es-E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Textoindependiente"/>
              <w:widowControl w:val="0"/>
              <w:rPr>
                <w:rFonts w:ascii="Calibri" w:hAnsi="Calibri" w:cs="Arial"/>
                <w:sz w:val="15"/>
                <w:szCs w:val="15"/>
                <w:lang w:val="es-ES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pStyle w:val="Textoindependiente"/>
              <w:widowControl w:val="0"/>
              <w:jc w:val="center"/>
              <w:rPr>
                <w:rFonts w:ascii="Calibri" w:hAnsi="Calibri" w:cs="Arial"/>
                <w:sz w:val="24"/>
                <w:szCs w:val="24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0000FF"/>
                <w:sz w:val="32"/>
                <w:szCs w:val="24"/>
                <w:lang w:val="es-ES"/>
              </w:rPr>
              <w:t>CONVOCATORIA PÚBLICA NACIONAL</w:t>
            </w:r>
          </w:p>
        </w:tc>
        <w:tc>
          <w:tcPr>
            <w:tcW w:w="1960" w:type="dxa"/>
            <w:vMerge/>
          </w:tcPr>
          <w:p>
            <w:pPr>
              <w:pStyle w:val="Textoindependiente"/>
              <w:widowControl w:val="0"/>
              <w:rPr>
                <w:rFonts w:ascii="Calibri" w:hAnsi="Calibri" w:cs="Arial"/>
                <w:sz w:val="15"/>
                <w:szCs w:val="15"/>
                <w:lang w:val="es-ES"/>
              </w:rPr>
            </w:pPr>
          </w:p>
        </w:tc>
      </w:tr>
    </w:tbl>
    <w:p>
      <w:pPr>
        <w:pStyle w:val="Textoindependiente"/>
        <w:widowControl w:val="0"/>
        <w:rPr>
          <w:rFonts w:ascii="Calibri" w:hAnsi="Calibri" w:cs="Arial"/>
          <w:sz w:val="15"/>
          <w:szCs w:val="15"/>
          <w:lang w:val="es-ES"/>
        </w:rPr>
      </w:pPr>
    </w:p>
    <w:p>
      <w:pPr>
        <w:pStyle w:val="Textoindependiente"/>
        <w:widowControl w:val="0"/>
        <w:ind w:right="28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De conformidad a lo dispuesto en la LOPSRMEMG de Obra Pública y Servicios Relacionados con la Misma para el Estado y los Municipios de Guanajuato (en adelante “</w:t>
      </w:r>
      <w:r>
        <w:rPr>
          <w:rFonts w:ascii="Calibri" w:hAnsi="Calibri" w:cs="Arial"/>
          <w:sz w:val="15"/>
          <w:szCs w:val="15"/>
          <w:lang w:val="es-ES"/>
        </w:rPr>
        <w:t>LOPSRMEMG”)</w:t>
      </w:r>
      <w:r>
        <w:rPr>
          <w:rFonts w:ascii="Calibri" w:hAnsi="Calibri" w:cs="Arial"/>
          <w:sz w:val="15"/>
          <w:szCs w:val="15"/>
        </w:rPr>
        <w:t xml:space="preserve"> en los artículos 9, 46, 47, 48, 49, 50, 53, 57, 58 y demás que resulten aplicables, se convoca a los interesados a participar en el procedimiento de </w:t>
      </w:r>
      <w:r>
        <w:rPr>
          <w:rFonts w:ascii="Calibri" w:hAnsi="Calibri" w:cs="Arial"/>
          <w:b/>
          <w:bCs/>
          <w:noProof/>
          <w:sz w:val="15"/>
          <w:szCs w:val="15"/>
          <w:highlight w:val="lightGray"/>
          <w:u w:val="single"/>
        </w:rPr>
        <w:t>Licitación pública nacional</w:t>
      </w:r>
      <w:r>
        <w:rPr>
          <w:rFonts w:ascii="Calibri" w:hAnsi="Calibri" w:cs="Arial"/>
          <w:b/>
          <w:sz w:val="15"/>
          <w:szCs w:val="15"/>
          <w:highlight w:val="lightGray"/>
          <w:u w:val="single"/>
        </w:rPr>
        <w:t xml:space="preserve"> Núm. </w:t>
      </w:r>
      <w:r>
        <w:rPr>
          <w:rFonts w:ascii="Calibri" w:hAnsi="Calibri" w:cs="Arial"/>
          <w:b/>
          <w:noProof/>
          <w:sz w:val="15"/>
          <w:szCs w:val="15"/>
          <w:highlight w:val="lightGray"/>
          <w:u w:val="single"/>
        </w:rPr>
        <w:t>DGOP/SECTUR/LPN-037-2020</w:t>
      </w:r>
      <w:r>
        <w:rPr>
          <w:rFonts w:ascii="Calibri" w:hAnsi="Calibri" w:cs="Arial"/>
          <w:sz w:val="15"/>
          <w:szCs w:val="15"/>
        </w:rPr>
        <w:t xml:space="preserve">, para adjudicar el contrato </w:t>
      </w:r>
      <w:r>
        <w:rPr>
          <w:rFonts w:ascii="Calibri" w:hAnsi="Calibri" w:cs="Arial"/>
          <w:bCs/>
          <w:sz w:val="15"/>
          <w:szCs w:val="15"/>
        </w:rPr>
        <w:t>a base de precios unitarios y tiempo determinado</w:t>
      </w:r>
      <w:r>
        <w:rPr>
          <w:rFonts w:ascii="Calibri" w:hAnsi="Calibri" w:cs="Arial"/>
          <w:sz w:val="15"/>
          <w:szCs w:val="15"/>
        </w:rPr>
        <w:t xml:space="preserve"> de la obra descrita. La cual será financiada con recursos de origen estatal del programa </w:t>
      </w:r>
      <w:r>
        <w:rPr>
          <w:rFonts w:ascii="Calibri" w:hAnsi="Calibri" w:cs="Arial"/>
          <w:noProof/>
          <w:sz w:val="15"/>
          <w:szCs w:val="15"/>
        </w:rPr>
        <w:t>Proyecto Q0360 denominado "Centro Histórico de Celaya-Mejoramiento de Imagen Urbana" partida presupuestal 6120 denominada "Edificación no Habitacional"</w:t>
      </w:r>
      <w:r>
        <w:rPr>
          <w:rFonts w:ascii="Calibri" w:hAnsi="Calibri" w:cs="Arial"/>
          <w:sz w:val="15"/>
          <w:szCs w:val="15"/>
        </w:rPr>
        <w:t xml:space="preserve">, autorizados de conformidad con </w:t>
      </w:r>
      <w:r>
        <w:rPr>
          <w:rFonts w:ascii="Calibri" w:hAnsi="Calibri" w:cs="Arial"/>
          <w:noProof/>
          <w:sz w:val="15"/>
          <w:szCs w:val="15"/>
        </w:rPr>
        <w:t>el convenio de asignación de recursos de deuda pública en materia de desarrollo turístico núm. SECTUR/CONV/109/2020 celebrado entre la Secretaría de Turismo y el Municipio de Celaya, Guanajuato de fecha 18 de diciembre de 2020, así como la décimo primera modificación al Programa General de Obra 2020, aprobada mediante dictamen núm. OSM-046/2020 de la comisión de obra públicas y servicios municipales y el acta núm. 074/2020 correspondiente a la quincuagésima novena sesión ordinaria del Ayuntamiento de Celaya, de fecha 18 de diciembre de 2020.</w:t>
      </w:r>
    </w:p>
    <w:p>
      <w:pPr>
        <w:widowControl w:val="0"/>
        <w:jc w:val="center"/>
        <w:rPr>
          <w:rFonts w:ascii="Calibri" w:hAnsi="Calibri" w:cs="Arial"/>
          <w:sz w:val="15"/>
          <w:szCs w:val="15"/>
          <w:lang w:val="es-ES_tradnl"/>
        </w:rPr>
      </w:pPr>
    </w:p>
    <w:tbl>
      <w:tblPr>
        <w:tblW w:w="1431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204"/>
        <w:gridCol w:w="1205"/>
        <w:gridCol w:w="1205"/>
        <w:gridCol w:w="1205"/>
        <w:gridCol w:w="992"/>
        <w:gridCol w:w="1276"/>
        <w:gridCol w:w="1086"/>
        <w:gridCol w:w="1182"/>
      </w:tblGrid>
      <w:tr>
        <w:trPr>
          <w:cantSplit/>
          <w:trHeight w:val="207"/>
        </w:trPr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>LICITACIÓN PÚBLICA NACIONAL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>DESCRIPCIÓN DE LA OBRA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>INSCRIPCIONES</w:t>
            </w:r>
          </w:p>
        </w:tc>
        <w:tc>
          <w:tcPr>
            <w:tcW w:w="1204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>VISITA DE OBRA</w:t>
            </w:r>
          </w:p>
        </w:tc>
        <w:tc>
          <w:tcPr>
            <w:tcW w:w="1205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>JUNTA DE ACLARACIONES</w:t>
            </w:r>
          </w:p>
        </w:tc>
        <w:tc>
          <w:tcPr>
            <w:tcW w:w="1205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>APERTURA DE PROPUESTAS</w:t>
            </w:r>
          </w:p>
        </w:tc>
        <w:tc>
          <w:tcPr>
            <w:tcW w:w="1205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>FALLO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>PLAZO DE EJECUCIÓN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>FECHAS ESTIMADAS</w:t>
            </w:r>
          </w:p>
        </w:tc>
        <w:tc>
          <w:tcPr>
            <w:tcW w:w="1086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>
            <w:pPr>
              <w:widowControl w:val="0"/>
              <w:ind w:left="-70" w:right="-11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>ANTICIPO</w:t>
            </w:r>
          </w:p>
        </w:tc>
        <w:tc>
          <w:tcPr>
            <w:tcW w:w="1182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>
            <w:pPr>
              <w:widowControl w:val="0"/>
              <w:ind w:left="-70" w:right="-11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>CAPITAL CONTABLE</w:t>
            </w:r>
          </w:p>
        </w:tc>
      </w:tr>
      <w:tr>
        <w:trPr>
          <w:cantSplit/>
          <w:trHeight w:val="858"/>
        </w:trPr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noProof/>
                <w:sz w:val="15"/>
                <w:szCs w:val="15"/>
              </w:rPr>
              <w:t>DGOP/SECTUR/LPN-037-2020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>
            <w:pPr>
              <w:pStyle w:val="Ttulo7"/>
              <w:keepNext w:val="0"/>
              <w:widowControl w:val="0"/>
              <w:ind w:right="71"/>
              <w:rPr>
                <w:rFonts w:ascii="Calibri" w:hAnsi="Calibri" w:cs="Arial"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Cs/>
                <w:noProof/>
                <w:sz w:val="15"/>
                <w:szCs w:val="15"/>
              </w:rPr>
              <w:t>MEJORAR LA IMAGEN URBANA Y ESPACIOS PÚBLICOS EN EL CENTRO HISTÓRICO EN LAS CALLES MIGUEL HIDALGO Y BENITO JUÁREZ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noProof/>
                <w:sz w:val="15"/>
                <w:szCs w:val="15"/>
              </w:rPr>
              <w:t>28, 29 Y 30 DE DICIEMBRE DE 2020</w:t>
            </w: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 xml:space="preserve"> </w:t>
            </w:r>
          </w:p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 xml:space="preserve">08:30 - 15:30 </w:t>
            </w:r>
            <w:proofErr w:type="spellStart"/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>hrs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noProof/>
                <w:sz w:val="15"/>
                <w:szCs w:val="15"/>
              </w:rPr>
              <w:t>13 DE ENERO DE 2021</w:t>
            </w:r>
          </w:p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noProof/>
                <w:sz w:val="15"/>
                <w:szCs w:val="15"/>
              </w:rPr>
              <w:t>09:00 HORAS</w:t>
            </w:r>
          </w:p>
        </w:tc>
        <w:tc>
          <w:tcPr>
            <w:tcW w:w="1205" w:type="dxa"/>
            <w:tcBorders>
              <w:top w:val="single" w:sz="6" w:space="0" w:color="auto"/>
            </w:tcBorders>
            <w:vAlign w:val="center"/>
          </w:tcPr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noProof/>
                <w:sz w:val="15"/>
                <w:szCs w:val="15"/>
              </w:rPr>
              <w:t>14 DE ENERO DE 2021</w:t>
            </w:r>
          </w:p>
          <w:p>
            <w:pPr>
              <w:widowControl w:val="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noProof/>
                <w:sz w:val="15"/>
                <w:szCs w:val="15"/>
              </w:rPr>
              <w:t>14:00 HORAS</w:t>
            </w:r>
          </w:p>
        </w:tc>
        <w:tc>
          <w:tcPr>
            <w:tcW w:w="1205" w:type="dxa"/>
            <w:tcBorders>
              <w:top w:val="single" w:sz="6" w:space="0" w:color="auto"/>
            </w:tcBorders>
            <w:vAlign w:val="center"/>
          </w:tcPr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noProof/>
                <w:sz w:val="15"/>
                <w:szCs w:val="15"/>
              </w:rPr>
              <w:t>25 DE ENERO DE 2021</w:t>
            </w:r>
          </w:p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noProof/>
                <w:sz w:val="15"/>
                <w:szCs w:val="15"/>
              </w:rPr>
              <w:t>09:00 HORAS</w:t>
            </w:r>
          </w:p>
        </w:tc>
        <w:tc>
          <w:tcPr>
            <w:tcW w:w="1205" w:type="dxa"/>
            <w:tcBorders>
              <w:top w:val="single" w:sz="6" w:space="0" w:color="auto"/>
            </w:tcBorders>
            <w:vAlign w:val="center"/>
          </w:tcPr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noProof/>
                <w:sz w:val="15"/>
                <w:szCs w:val="15"/>
              </w:rPr>
              <w:t>08 DE FEBRERO DE 2021</w:t>
            </w:r>
          </w:p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noProof/>
                <w:sz w:val="15"/>
                <w:szCs w:val="15"/>
              </w:rPr>
              <w:t>14:00 HORAS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noProof/>
                <w:sz w:val="15"/>
                <w:szCs w:val="15"/>
              </w:rPr>
              <w:t>184 DIAS NATURALES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noProof/>
                <w:sz w:val="15"/>
                <w:szCs w:val="15"/>
              </w:rPr>
              <w:t>01 DE MARZO DE 2021</w:t>
            </w:r>
          </w:p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noProof/>
                <w:sz w:val="15"/>
                <w:szCs w:val="15"/>
              </w:rPr>
              <w:t>31 DE AGOSTO DE 2021</w:t>
            </w:r>
          </w:p>
        </w:tc>
        <w:tc>
          <w:tcPr>
            <w:tcW w:w="1086" w:type="dxa"/>
            <w:tcBorders>
              <w:top w:val="single" w:sz="6" w:space="0" w:color="auto"/>
            </w:tcBorders>
            <w:vAlign w:val="center"/>
          </w:tcPr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noProof/>
                <w:sz w:val="15"/>
                <w:szCs w:val="15"/>
              </w:rPr>
              <w:t>30% (TREINTA POR CIENTO)</w:t>
            </w:r>
          </w:p>
        </w:tc>
        <w:tc>
          <w:tcPr>
            <w:tcW w:w="1182" w:type="dxa"/>
            <w:tcBorders>
              <w:top w:val="single" w:sz="6" w:space="0" w:color="auto"/>
            </w:tcBorders>
            <w:vAlign w:val="center"/>
          </w:tcPr>
          <w:p>
            <w:pPr>
              <w:widowControl w:val="0"/>
              <w:ind w:left="-70" w:right="-7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>$ 10,000,000.00</w:t>
            </w:r>
          </w:p>
        </w:tc>
      </w:tr>
    </w:tbl>
    <w:p>
      <w:pPr>
        <w:widowControl w:val="0"/>
        <w:jc w:val="center"/>
        <w:rPr>
          <w:rFonts w:ascii="Calibri" w:hAnsi="Calibri" w:cs="Arial"/>
          <w:sz w:val="15"/>
          <w:szCs w:val="15"/>
          <w:highlight w:val="lightGray"/>
        </w:rPr>
      </w:pPr>
    </w:p>
    <w:p>
      <w:pPr>
        <w:pStyle w:val="Textoindependiente"/>
        <w:widowControl w:val="0"/>
        <w:ind w:right="121"/>
        <w:rPr>
          <w:rFonts w:ascii="Calibri" w:hAnsi="Calibri" w:cs="Arial"/>
          <w:b/>
          <w:bCs/>
          <w:sz w:val="15"/>
          <w:szCs w:val="15"/>
          <w:u w:val="single"/>
          <w:lang w:val="es-ES"/>
        </w:rPr>
        <w:sectPr>
          <w:pgSz w:w="15842" w:h="12242" w:orient="landscape" w:code="1"/>
          <w:pgMar w:top="567" w:right="680" w:bottom="567" w:left="680" w:header="0" w:footer="0" w:gutter="0"/>
          <w:paperSrc w:first="7" w:other="7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>
      <w:pPr>
        <w:pStyle w:val="Textoindependiente"/>
        <w:widowControl w:val="0"/>
        <w:ind w:right="28"/>
        <w:rPr>
          <w:rFonts w:ascii="Calibri" w:hAnsi="Calibri" w:cs="Arial"/>
          <w:b/>
          <w:bCs/>
          <w:sz w:val="15"/>
          <w:szCs w:val="15"/>
          <w:u w:val="single"/>
          <w:lang w:val="es-ES"/>
        </w:rPr>
      </w:pPr>
      <w:r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es-ES"/>
        </w:rPr>
        <w:t>IDIOMA Y MONEDA:</w:t>
      </w:r>
    </w:p>
    <w:p>
      <w:pPr>
        <w:pStyle w:val="Textoindependiente"/>
        <w:widowControl w:val="0"/>
        <w:ind w:right="28"/>
        <w:rPr>
          <w:rFonts w:ascii="Calibri" w:hAnsi="Calibri" w:cs="Arial"/>
          <w:b/>
          <w:bCs/>
          <w:sz w:val="15"/>
          <w:szCs w:val="15"/>
        </w:rPr>
      </w:pPr>
      <w:r>
        <w:rPr>
          <w:rFonts w:ascii="Calibri" w:hAnsi="Calibri" w:cs="Arial"/>
          <w:sz w:val="15"/>
          <w:szCs w:val="15"/>
          <w:lang w:val="es-ES"/>
        </w:rPr>
        <w:t xml:space="preserve">La propuesta deberá presentarse en idioma español y </w:t>
      </w:r>
      <w:r>
        <w:rPr>
          <w:rFonts w:ascii="Calibri" w:hAnsi="Calibri" w:cs="Arial"/>
          <w:sz w:val="15"/>
          <w:szCs w:val="15"/>
        </w:rPr>
        <w:t>cotizada en pesos mexicanos.</w:t>
      </w:r>
    </w:p>
    <w:p>
      <w:pPr>
        <w:widowControl w:val="0"/>
        <w:ind w:right="28"/>
        <w:jc w:val="both"/>
        <w:rPr>
          <w:rFonts w:ascii="Calibri" w:hAnsi="Calibri" w:cs="Arial"/>
          <w:b/>
          <w:sz w:val="15"/>
          <w:szCs w:val="15"/>
          <w:u w:val="single"/>
        </w:rPr>
      </w:pPr>
    </w:p>
    <w:p>
      <w:pPr>
        <w:widowControl w:val="0"/>
        <w:rPr>
          <w:rFonts w:ascii="Calibri" w:hAnsi="Calibri" w:cs="Arial"/>
          <w:b/>
          <w:sz w:val="15"/>
          <w:szCs w:val="15"/>
          <w:highlight w:val="lightGray"/>
          <w:u w:val="single"/>
        </w:rPr>
      </w:pPr>
      <w:r>
        <w:rPr>
          <w:rFonts w:ascii="Calibri" w:hAnsi="Calibri" w:cs="Arial"/>
          <w:b/>
          <w:sz w:val="15"/>
          <w:szCs w:val="15"/>
          <w:highlight w:val="lightGray"/>
          <w:u w:val="single"/>
        </w:rPr>
        <w:t>REQUISITOS DE INSCRIPCIÓN:</w:t>
      </w:r>
    </w:p>
    <w:p>
      <w:pPr>
        <w:widowControl w:val="0"/>
        <w:numPr>
          <w:ilvl w:val="0"/>
          <w:numId w:val="9"/>
        </w:numPr>
        <w:jc w:val="both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Escrito de solicitud para participar en la licitación, manifestando domicilio, teléfono fijo y móvil y correo electrónico para oír y recibir cualquier notificación.</w:t>
      </w:r>
    </w:p>
    <w:p>
      <w:pPr>
        <w:widowControl w:val="0"/>
        <w:numPr>
          <w:ilvl w:val="0"/>
          <w:numId w:val="9"/>
        </w:numPr>
        <w:jc w:val="both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Manifestación escrita bajo protesta de decir verdad “No encontrarse en algún supuesto del artículo 16 de LOPSRMEMG”</w:t>
      </w:r>
    </w:p>
    <w:p>
      <w:pPr>
        <w:widowControl w:val="0"/>
        <w:numPr>
          <w:ilvl w:val="0"/>
          <w:numId w:val="9"/>
        </w:numPr>
        <w:jc w:val="both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 xml:space="preserve">Contar con </w:t>
      </w:r>
      <w:r>
        <w:rPr>
          <w:rFonts w:ascii="Calibri" w:hAnsi="Calibri" w:cs="Arial"/>
          <w:b/>
          <w:sz w:val="15"/>
          <w:szCs w:val="15"/>
          <w:u w:val="single"/>
        </w:rPr>
        <w:t>REGISTRO</w:t>
      </w:r>
      <w:r>
        <w:rPr>
          <w:rFonts w:ascii="Calibri" w:hAnsi="Calibri" w:cs="Arial"/>
          <w:sz w:val="15"/>
          <w:szCs w:val="15"/>
          <w:u w:val="single"/>
        </w:rPr>
        <w:t xml:space="preserve"> </w:t>
      </w:r>
      <w:r>
        <w:rPr>
          <w:rFonts w:ascii="Calibri" w:hAnsi="Calibri" w:cs="Arial"/>
          <w:b/>
          <w:sz w:val="15"/>
          <w:szCs w:val="15"/>
          <w:u w:val="single"/>
        </w:rPr>
        <w:t>VIGENTE</w:t>
      </w:r>
      <w:r>
        <w:rPr>
          <w:rFonts w:ascii="Calibri" w:hAnsi="Calibri" w:cs="Arial"/>
          <w:sz w:val="15"/>
          <w:szCs w:val="15"/>
        </w:rPr>
        <w:t xml:space="preserve"> en el padrón único de contratistas para el estado y los municipios de Guanajuato.</w:t>
      </w:r>
    </w:p>
    <w:p>
      <w:pPr>
        <w:widowControl w:val="0"/>
        <w:numPr>
          <w:ilvl w:val="0"/>
          <w:numId w:val="9"/>
        </w:numPr>
        <w:jc w:val="both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No encontrarse en situación de mora en la ejecución de alguna obra o haber incurrido en incumplimiento de contratos con la convocante (a nombre del licitante, representante legal o socios)</w:t>
      </w:r>
    </w:p>
    <w:p>
      <w:pPr>
        <w:pStyle w:val="Sangra3detindependiente"/>
        <w:widowControl w:val="0"/>
        <w:numPr>
          <w:ilvl w:val="0"/>
          <w:numId w:val="9"/>
        </w:numPr>
        <w:rPr>
          <w:rFonts w:ascii="Calibri" w:hAnsi="Calibri" w:cs="Arial"/>
          <w:sz w:val="15"/>
          <w:szCs w:val="15"/>
          <w:lang w:val="es-ES"/>
        </w:rPr>
      </w:pPr>
      <w:r>
        <w:rPr>
          <w:rFonts w:ascii="Calibri" w:hAnsi="Calibri" w:cs="Arial"/>
          <w:sz w:val="15"/>
          <w:szCs w:val="15"/>
          <w:lang w:val="es-ES"/>
        </w:rPr>
        <w:t>No tener con la convocante alguna observación o devolución pendiente derivada de auditorías de los diferentes órganos de control (a nombre del licitante, representante legal o socios)</w:t>
      </w:r>
    </w:p>
    <w:p>
      <w:pPr>
        <w:widowControl w:val="0"/>
        <w:jc w:val="both"/>
        <w:rPr>
          <w:rFonts w:ascii="Calibri" w:hAnsi="Calibri" w:cs="Arial"/>
          <w:sz w:val="15"/>
          <w:szCs w:val="15"/>
          <w:highlight w:val="lightGray"/>
        </w:rPr>
      </w:pPr>
    </w:p>
    <w:p>
      <w:pPr>
        <w:widowControl w:val="0"/>
        <w:jc w:val="both"/>
        <w:rPr>
          <w:rFonts w:ascii="Calibri" w:hAnsi="Calibri" w:cs="Arial"/>
          <w:b/>
          <w:bCs/>
          <w:sz w:val="15"/>
          <w:szCs w:val="15"/>
          <w:highlight w:val="lightGray"/>
          <w:u w:val="single"/>
        </w:rPr>
      </w:pPr>
      <w:r>
        <w:rPr>
          <w:rFonts w:ascii="Calibri" w:hAnsi="Calibri" w:cs="Arial"/>
          <w:b/>
          <w:bCs/>
          <w:sz w:val="15"/>
          <w:szCs w:val="15"/>
          <w:highlight w:val="lightGray"/>
          <w:u w:val="single"/>
        </w:rPr>
        <w:t>ACREDITACIÓN DE LA PERSONALIDAD JURÍDICA, CAPACIDAD FINANCIERA Y TÉCNICA:</w:t>
      </w:r>
    </w:p>
    <w:p>
      <w:pPr>
        <w:widowControl w:val="0"/>
        <w:numPr>
          <w:ilvl w:val="0"/>
          <w:numId w:val="9"/>
        </w:numPr>
        <w:jc w:val="both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Copia del acta constitutiva de la empresa y de la que acredite al representante legal (personas morales),</w:t>
      </w:r>
    </w:p>
    <w:p>
      <w:pPr>
        <w:widowControl w:val="0"/>
        <w:numPr>
          <w:ilvl w:val="0"/>
          <w:numId w:val="9"/>
        </w:numPr>
        <w:jc w:val="both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Copia de identificación oficial vigente con fotografía del solicitante o del representante legal,</w:t>
      </w:r>
    </w:p>
    <w:p>
      <w:pPr>
        <w:widowControl w:val="0"/>
        <w:numPr>
          <w:ilvl w:val="0"/>
          <w:numId w:val="9"/>
        </w:numPr>
        <w:jc w:val="both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Constancia de situación fiscal emitida por el SAT dentro de los últimos 30 días, que contenga cédula de identificación fiscal, datos del contribuyente, domicilio, actividad económica y régimen en que tributa,</w:t>
      </w:r>
    </w:p>
    <w:p>
      <w:pPr>
        <w:pStyle w:val="Sangra3detindependiente"/>
        <w:widowControl w:val="0"/>
        <w:numPr>
          <w:ilvl w:val="0"/>
          <w:numId w:val="9"/>
        </w:numPr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Copia de la declaración anual 2019 que acredite el capital contable requerido.</w:t>
      </w:r>
    </w:p>
    <w:p>
      <w:pPr>
        <w:pStyle w:val="Sangra3detindependiente"/>
        <w:widowControl w:val="0"/>
        <w:numPr>
          <w:ilvl w:val="0"/>
          <w:numId w:val="9"/>
        </w:numPr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Manifestación de contar con el personal directivo, administrativo y técnico calificado para ejecutar la obra por cada uno de los cuatro frentes de trabajo requeridos.</w:t>
      </w:r>
    </w:p>
    <w:p>
      <w:pPr>
        <w:pStyle w:val="Sangra3detindependiente"/>
        <w:widowControl w:val="0"/>
        <w:numPr>
          <w:ilvl w:val="0"/>
          <w:numId w:val="9"/>
        </w:numPr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Manifestación de disponer de maquinaria y equipo adecuado y suficiente para realizar la obra por cada uno de los cuatro frentes de trabajo requeridos.</w:t>
      </w:r>
    </w:p>
    <w:p>
      <w:pPr>
        <w:pStyle w:val="Sangra3detindependiente"/>
        <w:widowControl w:val="0"/>
        <w:ind w:left="0" w:firstLine="0"/>
        <w:rPr>
          <w:rFonts w:ascii="Calibri" w:hAnsi="Calibri" w:cs="Arial"/>
          <w:sz w:val="15"/>
          <w:szCs w:val="15"/>
        </w:rPr>
      </w:pPr>
    </w:p>
    <w:p>
      <w:pPr>
        <w:pStyle w:val="Textoindependiente"/>
        <w:widowControl w:val="0"/>
        <w:rPr>
          <w:rFonts w:ascii="Calibri" w:hAnsi="Calibri" w:cs="Arial"/>
          <w:sz w:val="15"/>
          <w:szCs w:val="15"/>
          <w:lang w:val="es-ES"/>
        </w:rPr>
      </w:pPr>
      <w:r>
        <w:rPr>
          <w:rFonts w:ascii="Calibri" w:hAnsi="Calibri" w:cs="Arial"/>
          <w:sz w:val="15"/>
          <w:szCs w:val="15"/>
          <w:lang w:val="es-ES"/>
        </w:rPr>
        <w:t>Debido a que la obra OBLIGATORIAMENTE se deberá ejecutar en cuatro frentes de trabajo CON EQUIPO Y PERSONAL INDEPENDIENTE ENTRE SÍ, se podrán agrupar dos o más personas para presentar conjuntamente una proposición sin necesidad de constituir una nueva sociedad, siempre y cuando lo establezcan en su escrito de solicitud (1) y entreguen el original de su convenio de participación conjunta que especifique las partes o tramos de los trabajos que cada persona se obligará ejecutar. además de acreditar de manera individual los requisitos 2 al 9.</w:t>
      </w:r>
    </w:p>
    <w:p>
      <w:pPr>
        <w:pStyle w:val="Textoindependiente"/>
        <w:widowControl w:val="0"/>
        <w:jc w:val="center"/>
        <w:rPr>
          <w:rFonts w:ascii="Calibri" w:hAnsi="Calibri" w:cs="Arial"/>
          <w:sz w:val="15"/>
          <w:szCs w:val="15"/>
          <w:u w:val="single"/>
          <w:lang w:val="es-ES"/>
        </w:rPr>
      </w:pPr>
      <w:r>
        <w:rPr>
          <w:rFonts w:ascii="Calibri" w:hAnsi="Calibri" w:cs="Arial"/>
          <w:sz w:val="15"/>
          <w:szCs w:val="15"/>
          <w:u w:val="single"/>
          <w:lang w:val="es-ES"/>
        </w:rPr>
        <w:t>FRENTES DE TRABAJO:</w:t>
      </w:r>
    </w:p>
    <w:p>
      <w:pPr>
        <w:pStyle w:val="Textoindependiente"/>
        <w:widowControl w:val="0"/>
        <w:numPr>
          <w:ilvl w:val="0"/>
          <w:numId w:val="16"/>
        </w:numPr>
        <w:rPr>
          <w:rFonts w:ascii="Calibri" w:hAnsi="Calibri" w:cs="Arial"/>
          <w:sz w:val="15"/>
          <w:szCs w:val="15"/>
          <w:lang w:val="es-ES"/>
        </w:rPr>
      </w:pPr>
      <w:r>
        <w:rPr>
          <w:rFonts w:ascii="Calibri" w:hAnsi="Calibri" w:cs="Arial"/>
          <w:sz w:val="15"/>
          <w:szCs w:val="15"/>
          <w:lang w:val="es-ES"/>
        </w:rPr>
        <w:t xml:space="preserve">Calle Hidalgo, tramo Benito Juárez – </w:t>
      </w:r>
      <w:proofErr w:type="spellStart"/>
      <w:r>
        <w:rPr>
          <w:rFonts w:ascii="Calibri" w:hAnsi="Calibri" w:cs="Arial"/>
          <w:sz w:val="15"/>
          <w:szCs w:val="15"/>
          <w:lang w:val="es-ES"/>
        </w:rPr>
        <w:t>Emeteria</w:t>
      </w:r>
      <w:proofErr w:type="spellEnd"/>
      <w:r>
        <w:rPr>
          <w:rFonts w:ascii="Calibri" w:hAnsi="Calibri" w:cs="Arial"/>
          <w:sz w:val="15"/>
          <w:szCs w:val="15"/>
          <w:lang w:val="es-ES"/>
        </w:rPr>
        <w:t xml:space="preserve"> Valencia</w:t>
      </w:r>
    </w:p>
    <w:p>
      <w:pPr>
        <w:pStyle w:val="Textoindependiente"/>
        <w:widowControl w:val="0"/>
        <w:numPr>
          <w:ilvl w:val="0"/>
          <w:numId w:val="16"/>
        </w:numPr>
        <w:rPr>
          <w:rFonts w:ascii="Calibri" w:hAnsi="Calibri" w:cs="Arial"/>
          <w:sz w:val="15"/>
          <w:szCs w:val="15"/>
          <w:lang w:val="es-ES"/>
        </w:rPr>
      </w:pPr>
      <w:r>
        <w:rPr>
          <w:rFonts w:ascii="Calibri" w:hAnsi="Calibri" w:cs="Arial"/>
          <w:sz w:val="15"/>
          <w:szCs w:val="15"/>
          <w:lang w:val="es-ES"/>
        </w:rPr>
        <w:t>Calle Benito Juárez, tramo 5 de mayo – El Carmen.</w:t>
      </w:r>
    </w:p>
    <w:p>
      <w:pPr>
        <w:pStyle w:val="Textoindependiente"/>
        <w:widowControl w:val="0"/>
        <w:numPr>
          <w:ilvl w:val="0"/>
          <w:numId w:val="16"/>
        </w:numPr>
        <w:rPr>
          <w:rFonts w:ascii="Calibri" w:hAnsi="Calibri" w:cs="Arial"/>
          <w:sz w:val="15"/>
          <w:szCs w:val="15"/>
          <w:lang w:val="es-ES"/>
        </w:rPr>
      </w:pPr>
      <w:r>
        <w:rPr>
          <w:rFonts w:ascii="Calibri" w:hAnsi="Calibri" w:cs="Arial"/>
          <w:sz w:val="15"/>
          <w:szCs w:val="15"/>
          <w:lang w:val="es-ES"/>
        </w:rPr>
        <w:t>Calle Benito Juárez, tramo El Carmen - Boulevard A.L.M.</w:t>
      </w:r>
    </w:p>
    <w:p>
      <w:pPr>
        <w:pStyle w:val="Textoindependiente"/>
        <w:widowControl w:val="0"/>
        <w:numPr>
          <w:ilvl w:val="0"/>
          <w:numId w:val="16"/>
        </w:numPr>
        <w:rPr>
          <w:rFonts w:ascii="Calibri" w:hAnsi="Calibri" w:cs="Arial"/>
          <w:sz w:val="15"/>
          <w:szCs w:val="15"/>
          <w:lang w:val="es-ES"/>
        </w:rPr>
      </w:pPr>
      <w:r>
        <w:rPr>
          <w:rFonts w:ascii="Calibri" w:hAnsi="Calibri" w:cs="Arial"/>
          <w:sz w:val="15"/>
          <w:szCs w:val="15"/>
          <w:lang w:val="es-ES"/>
        </w:rPr>
        <w:t>Calle Benito Juárez, tramo Boulevard A.L.M. – Pípila.</w:t>
      </w:r>
    </w:p>
    <w:p>
      <w:pPr>
        <w:widowControl w:val="0"/>
        <w:jc w:val="both"/>
        <w:rPr>
          <w:rFonts w:ascii="Calibri" w:hAnsi="Calibri" w:cs="Arial"/>
          <w:b/>
          <w:bCs/>
          <w:sz w:val="15"/>
          <w:szCs w:val="15"/>
          <w:highlight w:val="lightGray"/>
          <w:u w:val="single"/>
        </w:rPr>
      </w:pPr>
    </w:p>
    <w:p>
      <w:pPr>
        <w:pStyle w:val="Ttulo1"/>
        <w:keepNext w:val="0"/>
        <w:widowControl w:val="0"/>
        <w:ind w:right="121"/>
        <w:jc w:val="both"/>
        <w:rPr>
          <w:rFonts w:ascii="Calibri" w:hAnsi="Calibri" w:cs="Arial"/>
          <w:sz w:val="15"/>
          <w:szCs w:val="15"/>
          <w:highlight w:val="lightGray"/>
          <w:u w:val="single"/>
        </w:rPr>
      </w:pPr>
      <w:r>
        <w:rPr>
          <w:rFonts w:ascii="Calibri" w:hAnsi="Calibri" w:cs="Arial"/>
          <w:sz w:val="15"/>
          <w:szCs w:val="15"/>
          <w:highlight w:val="lightGray"/>
          <w:u w:val="single"/>
        </w:rPr>
        <w:t>COSTO DE INSCRIPCIÓN Y FORMA DE PAGO:</w:t>
      </w:r>
    </w:p>
    <w:p>
      <w:pPr>
        <w:widowControl w:val="0"/>
        <w:jc w:val="both"/>
        <w:rPr>
          <w:rFonts w:ascii="Calibri" w:hAnsi="Calibri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 xml:space="preserve">Aprobados los requisitos anteriores (1-11), la jefatura de concursos y contratos expedirá un recibo para realizar el pago de </w:t>
      </w:r>
      <w:r>
        <w:rPr>
          <w:rFonts w:ascii="Calibri" w:hAnsi="Calibri" w:cs="Arial"/>
          <w:b/>
          <w:bCs/>
          <w:sz w:val="15"/>
          <w:szCs w:val="15"/>
        </w:rPr>
        <w:t xml:space="preserve">$4,230.00 (cuatro mil doscientos treinta pesos </w:t>
      </w:r>
      <w:r>
        <w:rPr>
          <w:rFonts w:ascii="Calibri" w:hAnsi="Calibri" w:cs="Arial"/>
          <w:b/>
          <w:sz w:val="15"/>
          <w:szCs w:val="15"/>
        </w:rPr>
        <w:t xml:space="preserve">00/100 M.N.) </w:t>
      </w:r>
      <w:r>
        <w:rPr>
          <w:rFonts w:ascii="Calibri" w:hAnsi="Calibri" w:cs="Arial"/>
          <w:sz w:val="15"/>
          <w:szCs w:val="15"/>
        </w:rPr>
        <w:t>por concepto</w:t>
      </w:r>
      <w:r>
        <w:rPr>
          <w:rFonts w:ascii="Calibri" w:hAnsi="Calibri" w:cs="Arial"/>
          <w:b/>
          <w:sz w:val="15"/>
          <w:szCs w:val="15"/>
        </w:rPr>
        <w:t xml:space="preserve"> </w:t>
      </w:r>
      <w:r>
        <w:rPr>
          <w:rFonts w:ascii="Calibri" w:hAnsi="Calibri" w:cs="Arial"/>
          <w:sz w:val="15"/>
          <w:szCs w:val="15"/>
        </w:rPr>
        <w:t>de bases de licitaciones públicas en la Tesorería Municipal. El pago deberá realizarse e</w:t>
      </w:r>
      <w:r>
        <w:rPr>
          <w:rFonts w:ascii="Calibri" w:hAnsi="Calibri"/>
          <w:sz w:val="15"/>
          <w:szCs w:val="15"/>
        </w:rPr>
        <w:t xml:space="preserve">n efectivo o cheque a nombre del Municipio de Celaya </w:t>
      </w:r>
      <w:r>
        <w:rPr>
          <w:rFonts w:ascii="Calibri" w:hAnsi="Calibri"/>
          <w:i/>
          <w:sz w:val="15"/>
          <w:szCs w:val="15"/>
        </w:rPr>
        <w:t>“en ningún caso este pago será reembolsable, salvo los supuestos II y IV del art. 71 de la LOPSRMEMG”</w:t>
      </w:r>
      <w:r>
        <w:rPr>
          <w:rFonts w:ascii="Calibri" w:hAnsi="Calibri"/>
          <w:sz w:val="15"/>
          <w:szCs w:val="15"/>
        </w:rPr>
        <w:t>.</w:t>
      </w:r>
    </w:p>
    <w:p>
      <w:pPr>
        <w:pStyle w:val="Sangradetextonormal"/>
        <w:widowControl w:val="0"/>
        <w:ind w:left="0"/>
        <w:rPr>
          <w:rFonts w:ascii="Calibri" w:hAnsi="Calibri"/>
          <w:sz w:val="15"/>
          <w:szCs w:val="15"/>
        </w:rPr>
      </w:pPr>
    </w:p>
    <w:p>
      <w:pPr>
        <w:widowControl w:val="0"/>
        <w:jc w:val="both"/>
        <w:rPr>
          <w:rFonts w:ascii="Calibri" w:hAnsi="Calibri" w:cs="Arial"/>
          <w:b/>
          <w:bCs/>
          <w:sz w:val="15"/>
          <w:szCs w:val="15"/>
          <w:highlight w:val="lightGray"/>
          <w:u w:val="single"/>
        </w:rPr>
      </w:pPr>
      <w:r>
        <w:rPr>
          <w:rFonts w:ascii="Calibri" w:hAnsi="Calibri" w:cs="Arial"/>
          <w:b/>
          <w:bCs/>
          <w:sz w:val="15"/>
          <w:szCs w:val="15"/>
          <w:highlight w:val="lightGray"/>
          <w:u w:val="single"/>
        </w:rPr>
        <w:t>LUGAR Y HORARIO DE INSCRIPCIÓN:</w:t>
      </w:r>
    </w:p>
    <w:p>
      <w:pPr>
        <w:pStyle w:val="Textoindependiente"/>
        <w:widowControl w:val="0"/>
        <w:rPr>
          <w:rFonts w:ascii="Calibri" w:hAnsi="Calibri" w:cs="Arial"/>
          <w:b/>
          <w:sz w:val="15"/>
          <w:szCs w:val="15"/>
          <w:lang w:val="es-ES"/>
        </w:rPr>
      </w:pPr>
      <w:r>
        <w:rPr>
          <w:rFonts w:ascii="Calibri" w:hAnsi="Calibri" w:cs="Arial"/>
          <w:sz w:val="15"/>
          <w:szCs w:val="15"/>
          <w:lang w:val="es-ES"/>
        </w:rPr>
        <w:t xml:space="preserve">Dirección General de Obras Públicas, Jefatura de Concursos y Contratos, Av. Lázaro Cárdenas #704, Col. Villas del Romeral, Celaya, Gto., C.P. 38095, Tel. 461-616-4282, 461-616-7650 y 461-616-5714, ext. 103 y 180 de 8:30 a 15:30 </w:t>
      </w:r>
      <w:proofErr w:type="spellStart"/>
      <w:r>
        <w:rPr>
          <w:rFonts w:ascii="Calibri" w:hAnsi="Calibri" w:cs="Arial"/>
          <w:sz w:val="15"/>
          <w:szCs w:val="15"/>
          <w:lang w:val="es-ES"/>
        </w:rPr>
        <w:t>hrs</w:t>
      </w:r>
      <w:proofErr w:type="spellEnd"/>
      <w:r>
        <w:rPr>
          <w:rFonts w:ascii="Calibri" w:hAnsi="Calibri" w:cs="Arial"/>
          <w:sz w:val="15"/>
          <w:szCs w:val="15"/>
          <w:lang w:val="es-ES"/>
        </w:rPr>
        <w:t>.</w:t>
      </w:r>
    </w:p>
    <w:p>
      <w:pPr>
        <w:widowControl w:val="0"/>
        <w:ind w:right="121"/>
        <w:jc w:val="both"/>
        <w:rPr>
          <w:rFonts w:ascii="Calibri" w:hAnsi="Calibri" w:cs="Arial"/>
          <w:b/>
          <w:bCs/>
          <w:sz w:val="15"/>
          <w:szCs w:val="15"/>
          <w:u w:val="single"/>
        </w:rPr>
      </w:pPr>
    </w:p>
    <w:p>
      <w:pPr>
        <w:pStyle w:val="Textoindependiente"/>
        <w:widowControl w:val="0"/>
        <w:ind w:left="2127" w:right="28" w:hanging="2127"/>
        <w:rPr>
          <w:rFonts w:ascii="Calibri" w:hAnsi="Calibri" w:cs="Arial"/>
          <w:b/>
          <w:bCs/>
          <w:sz w:val="15"/>
          <w:szCs w:val="15"/>
          <w:u w:val="single"/>
          <w:lang w:val="es-ES"/>
        </w:rPr>
      </w:pPr>
      <w:r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es-ES"/>
        </w:rPr>
        <w:t>VISITA DE OBRA:</w:t>
      </w:r>
    </w:p>
    <w:p>
      <w:pPr>
        <w:pStyle w:val="Textoindependiente"/>
        <w:widowControl w:val="0"/>
        <w:ind w:right="28"/>
        <w:rPr>
          <w:rFonts w:ascii="Calibri" w:hAnsi="Calibri" w:cs="Arial"/>
          <w:sz w:val="15"/>
          <w:szCs w:val="15"/>
          <w:lang w:val="es-ES"/>
        </w:rPr>
      </w:pPr>
      <w:r>
        <w:rPr>
          <w:rFonts w:ascii="Calibri" w:hAnsi="Calibri" w:cs="Arial"/>
          <w:sz w:val="15"/>
          <w:szCs w:val="15"/>
          <w:lang w:val="es-ES"/>
        </w:rPr>
        <w:t xml:space="preserve">El punto de reunión para la visita de obra </w:t>
      </w:r>
      <w:r>
        <w:rPr>
          <w:rFonts w:ascii="Calibri" w:hAnsi="Calibri" w:cs="Arial"/>
          <w:b/>
          <w:sz w:val="15"/>
          <w:szCs w:val="15"/>
          <w:lang w:val="es-ES"/>
        </w:rPr>
        <w:t>OBLIGATORIA</w:t>
      </w:r>
      <w:r>
        <w:rPr>
          <w:rFonts w:ascii="Calibri" w:hAnsi="Calibri" w:cs="Arial"/>
          <w:sz w:val="15"/>
          <w:szCs w:val="15"/>
          <w:lang w:val="es-ES"/>
        </w:rPr>
        <w:t xml:space="preserve"> es: </w:t>
      </w:r>
      <w:r>
        <w:rPr>
          <w:rFonts w:ascii="Calibri" w:hAnsi="Calibri" w:cs="Arial"/>
          <w:noProof/>
          <w:sz w:val="15"/>
          <w:szCs w:val="15"/>
        </w:rPr>
        <w:t>calle Benito Juárez esquina con calle Hidalgo, zona centro de Celaya, Gto.</w:t>
      </w:r>
    </w:p>
    <w:p>
      <w:pPr>
        <w:pStyle w:val="Textoindependiente3"/>
        <w:widowControl w:val="0"/>
        <w:ind w:right="28"/>
        <w:jc w:val="both"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 xml:space="preserve">Los eventos </w:t>
      </w:r>
      <w:r>
        <w:rPr>
          <w:rFonts w:ascii="Calibri" w:hAnsi="Calibri"/>
          <w:b/>
          <w:sz w:val="15"/>
          <w:szCs w:val="15"/>
        </w:rPr>
        <w:t>OBLIGATORIOS</w:t>
      </w:r>
      <w:r>
        <w:rPr>
          <w:rFonts w:ascii="Calibri" w:hAnsi="Calibri"/>
          <w:sz w:val="15"/>
          <w:szCs w:val="15"/>
        </w:rPr>
        <w:t xml:space="preserve"> de junta de aclaraciones, apertura de propuestas y fallo se llevarán a cabo en sala de juntas de la convocante.</w:t>
      </w:r>
    </w:p>
    <w:p>
      <w:pPr>
        <w:widowControl w:val="0"/>
        <w:ind w:right="28"/>
        <w:jc w:val="both"/>
        <w:rPr>
          <w:rFonts w:ascii="Calibri" w:hAnsi="Calibri" w:cs="Arial"/>
          <w:sz w:val="15"/>
          <w:szCs w:val="15"/>
          <w:highlight w:val="lightGray"/>
        </w:rPr>
      </w:pPr>
    </w:p>
    <w:p>
      <w:pPr>
        <w:pStyle w:val="Ttulo1"/>
        <w:keepNext w:val="0"/>
        <w:widowControl w:val="0"/>
        <w:ind w:left="33" w:right="28"/>
        <w:jc w:val="left"/>
        <w:rPr>
          <w:rFonts w:ascii="Calibri" w:hAnsi="Calibri" w:cs="Arial"/>
          <w:sz w:val="15"/>
          <w:szCs w:val="15"/>
          <w:highlight w:val="lightGray"/>
          <w:u w:val="single"/>
        </w:rPr>
      </w:pPr>
      <w:r>
        <w:rPr>
          <w:rFonts w:ascii="Calibri" w:hAnsi="Calibri" w:cs="Arial"/>
          <w:sz w:val="15"/>
          <w:szCs w:val="15"/>
          <w:highlight w:val="lightGray"/>
          <w:u w:val="single"/>
        </w:rPr>
        <w:t>GARANTÍAS QUE DEBERÁ OTORGAR EL LICITANTE GANADOR:</w:t>
      </w:r>
    </w:p>
    <w:p>
      <w:pPr>
        <w:pStyle w:val="Textoindependiente"/>
        <w:widowControl w:val="0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Dentro de los 10 días posteriores a la firma del contrato.</w:t>
      </w:r>
    </w:p>
    <w:p>
      <w:pPr>
        <w:pStyle w:val="Textoindependiente"/>
        <w:widowControl w:val="0"/>
        <w:numPr>
          <w:ilvl w:val="0"/>
          <w:numId w:val="15"/>
        </w:numPr>
        <w:tabs>
          <w:tab w:val="clear" w:pos="360"/>
        </w:tabs>
        <w:ind w:left="284" w:hanging="284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 xml:space="preserve">Anticipo: una garantía en los términos del art. 78 de la </w:t>
      </w:r>
      <w:r>
        <w:rPr>
          <w:rFonts w:ascii="Calibri" w:hAnsi="Calibri" w:cs="Arial"/>
          <w:sz w:val="15"/>
          <w:szCs w:val="15"/>
          <w:lang w:val="es-ES"/>
        </w:rPr>
        <w:t>LOPSRMEMG</w:t>
      </w:r>
      <w:r>
        <w:rPr>
          <w:rFonts w:ascii="Calibri" w:hAnsi="Calibri" w:cs="Arial"/>
          <w:sz w:val="15"/>
          <w:szCs w:val="15"/>
        </w:rPr>
        <w:t xml:space="preserve">, por el monto total del anticipo, </w:t>
      </w:r>
      <w:r>
        <w:rPr>
          <w:rFonts w:ascii="Calibri" w:hAnsi="Calibri" w:cs="Arial"/>
          <w:noProof/>
          <w:sz w:val="15"/>
          <w:szCs w:val="15"/>
        </w:rPr>
        <w:t>30% (TREINTA POR CIENTO)</w:t>
      </w:r>
      <w:r>
        <w:rPr>
          <w:rFonts w:ascii="Calibri" w:hAnsi="Calibri" w:cs="Arial"/>
          <w:sz w:val="15"/>
          <w:szCs w:val="15"/>
        </w:rPr>
        <w:t xml:space="preserve"> a favor de la tesorería municipal de Celaya, Gto.</w:t>
      </w:r>
    </w:p>
    <w:p>
      <w:pPr>
        <w:pStyle w:val="Textoindependiente"/>
        <w:widowControl w:val="0"/>
        <w:numPr>
          <w:ilvl w:val="0"/>
          <w:numId w:val="15"/>
        </w:numPr>
        <w:tabs>
          <w:tab w:val="clear" w:pos="360"/>
        </w:tabs>
        <w:ind w:left="284" w:hanging="284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 xml:space="preserve">Cumplimiento: una garantía en los términos del art. 78 de la </w:t>
      </w:r>
      <w:r>
        <w:rPr>
          <w:rFonts w:ascii="Calibri" w:hAnsi="Calibri" w:cs="Arial"/>
          <w:sz w:val="15"/>
          <w:szCs w:val="15"/>
          <w:lang w:val="es-ES"/>
        </w:rPr>
        <w:t>LOPSRMEMG</w:t>
      </w:r>
      <w:r>
        <w:rPr>
          <w:rFonts w:ascii="Calibri" w:hAnsi="Calibri" w:cs="Arial"/>
          <w:sz w:val="15"/>
          <w:szCs w:val="15"/>
        </w:rPr>
        <w:t>, por el 10% del monto total contratado, a favor de la tesorería municipal de Celaya, Gto.</w:t>
      </w:r>
    </w:p>
    <w:p>
      <w:pPr>
        <w:pStyle w:val="Textoindependiente"/>
        <w:widowControl w:val="0"/>
        <w:numPr>
          <w:ilvl w:val="0"/>
          <w:numId w:val="15"/>
        </w:numPr>
        <w:tabs>
          <w:tab w:val="clear" w:pos="360"/>
        </w:tabs>
        <w:ind w:left="284" w:hanging="284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Póliza de seguro de responsabilidad civil contra daños a terceros que pudieran resultar afectados, por el 30% del importe total contratado, a nombre del contratista</w:t>
      </w:r>
    </w:p>
    <w:p>
      <w:pPr>
        <w:pStyle w:val="Textoindependiente"/>
        <w:widowControl w:val="0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Dentro de su estimación de finiquito.</w:t>
      </w:r>
    </w:p>
    <w:p>
      <w:pPr>
        <w:pStyle w:val="Textoindependiente"/>
        <w:widowControl w:val="0"/>
        <w:numPr>
          <w:ilvl w:val="0"/>
          <w:numId w:val="15"/>
        </w:numPr>
        <w:tabs>
          <w:tab w:val="clear" w:pos="360"/>
        </w:tabs>
        <w:ind w:left="284" w:hanging="284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 xml:space="preserve">Vicios ocultos: una garantía en los términos del art. 78 de la </w:t>
      </w:r>
      <w:r>
        <w:rPr>
          <w:rFonts w:ascii="Calibri" w:hAnsi="Calibri" w:cs="Arial"/>
          <w:sz w:val="15"/>
          <w:szCs w:val="15"/>
          <w:lang w:val="es-ES"/>
        </w:rPr>
        <w:t>LOPSRMEMG</w:t>
      </w:r>
      <w:r>
        <w:rPr>
          <w:rFonts w:ascii="Calibri" w:hAnsi="Calibri" w:cs="Arial"/>
          <w:sz w:val="15"/>
          <w:szCs w:val="15"/>
        </w:rPr>
        <w:t>, por el 10% del monto total ejercido, a favor de la tesorería municipal de Celaya, Gto.</w:t>
      </w:r>
    </w:p>
    <w:p>
      <w:pPr>
        <w:widowControl w:val="0"/>
        <w:rPr>
          <w:rFonts w:ascii="Calibri" w:hAnsi="Calibri" w:cs="Arial"/>
          <w:b/>
          <w:sz w:val="15"/>
          <w:szCs w:val="15"/>
          <w:u w:val="single"/>
        </w:rPr>
      </w:pPr>
    </w:p>
    <w:p>
      <w:pPr>
        <w:pStyle w:val="Ttulo8"/>
        <w:keepNext w:val="0"/>
        <w:widowControl w:val="0"/>
        <w:jc w:val="left"/>
        <w:rPr>
          <w:rFonts w:ascii="Calibri" w:hAnsi="Calibri" w:cs="Arial"/>
          <w:bCs/>
          <w:sz w:val="15"/>
          <w:szCs w:val="15"/>
          <w:highlight w:val="lightGray"/>
          <w:u w:val="single"/>
        </w:rPr>
      </w:pPr>
      <w:r>
        <w:rPr>
          <w:rFonts w:ascii="Calibri" w:hAnsi="Calibri" w:cs="Arial"/>
          <w:bCs/>
          <w:sz w:val="15"/>
          <w:szCs w:val="15"/>
          <w:highlight w:val="lightGray"/>
          <w:u w:val="single"/>
        </w:rPr>
        <w:t>CRITERIOS DE ADJUDICACIÓN:</w:t>
      </w:r>
    </w:p>
    <w:p>
      <w:pPr>
        <w:widowControl w:val="0"/>
        <w:jc w:val="both"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>En la evaluación se considerarán los siguientes criterios:</w:t>
      </w:r>
    </w:p>
    <w:p>
      <w:pPr>
        <w:widowControl w:val="0"/>
        <w:numPr>
          <w:ilvl w:val="0"/>
          <w:numId w:val="14"/>
        </w:numPr>
        <w:ind w:left="284" w:hanging="284"/>
        <w:jc w:val="both"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>La congruencia de la propuesta económica presentada por el licitante, con las características técnicas y económicas de los trabajos a realizar, conforme al análisis de costos que la convocante efectuará;</w:t>
      </w:r>
    </w:p>
    <w:p>
      <w:pPr>
        <w:widowControl w:val="0"/>
        <w:numPr>
          <w:ilvl w:val="0"/>
          <w:numId w:val="14"/>
        </w:numPr>
        <w:ind w:left="284" w:hanging="284"/>
        <w:jc w:val="both"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>Costos congruentes de acuerdo con las condiciones de la obra y de la empresa;</w:t>
      </w:r>
    </w:p>
    <w:p>
      <w:pPr>
        <w:widowControl w:val="0"/>
        <w:numPr>
          <w:ilvl w:val="0"/>
          <w:numId w:val="14"/>
        </w:numPr>
        <w:ind w:left="284" w:hanging="284"/>
        <w:jc w:val="both"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>La experiencia en obras y montos similares, así como su desempeño y cumplimiento;</w:t>
      </w:r>
    </w:p>
    <w:p>
      <w:pPr>
        <w:widowControl w:val="0"/>
        <w:numPr>
          <w:ilvl w:val="0"/>
          <w:numId w:val="14"/>
        </w:numPr>
        <w:ind w:left="284" w:hanging="284"/>
        <w:jc w:val="both"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>La capacidad técnica instalada, el equipo propio y adecuado para la ejecución de la obra; el personal técnico calificado, así como el porcentaje de obra que propone subcontratar;</w:t>
      </w:r>
    </w:p>
    <w:p>
      <w:pPr>
        <w:widowControl w:val="0"/>
        <w:numPr>
          <w:ilvl w:val="0"/>
          <w:numId w:val="14"/>
        </w:numPr>
        <w:ind w:left="284" w:hanging="284"/>
        <w:jc w:val="both"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>El cumplimiento de las obligaciones contractuales, fiscales y de previsión social;</w:t>
      </w:r>
    </w:p>
    <w:p>
      <w:pPr>
        <w:widowControl w:val="0"/>
        <w:numPr>
          <w:ilvl w:val="0"/>
          <w:numId w:val="14"/>
        </w:numPr>
        <w:ind w:left="284" w:hanging="284"/>
        <w:jc w:val="both"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>La permanencia y actividad en el mercado del sector construcción, y</w:t>
      </w:r>
    </w:p>
    <w:p>
      <w:pPr>
        <w:widowControl w:val="0"/>
        <w:numPr>
          <w:ilvl w:val="0"/>
          <w:numId w:val="14"/>
        </w:numPr>
        <w:ind w:left="284" w:hanging="284"/>
        <w:jc w:val="both"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>La aplicación de sistemas de seguridad y en su caso la certificación en sistemas de calidad.</w:t>
      </w:r>
    </w:p>
    <w:p>
      <w:pPr>
        <w:pStyle w:val="Textoindependiente"/>
        <w:widowControl w:val="0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  <w:lang w:val="es-ES"/>
        </w:rPr>
        <w:t xml:space="preserve">Cumplidos los criterios anteriores, se dará preferencia a la propuesta económica más baja. </w:t>
      </w:r>
      <w:r>
        <w:rPr>
          <w:rFonts w:ascii="Calibri" w:hAnsi="Calibri" w:cs="Arial"/>
          <w:sz w:val="15"/>
          <w:szCs w:val="15"/>
        </w:rPr>
        <w:t>Si dos o más propuestas cumplen los criterios y presentan condiciones económicas iguales, se dará preferencia a los licitantes del estado. Si ambos son del estado se elegirá al licitante del Municipio.</w:t>
      </w:r>
    </w:p>
    <w:p>
      <w:pPr>
        <w:pStyle w:val="Textoindependiente"/>
        <w:widowControl w:val="0"/>
        <w:rPr>
          <w:rFonts w:ascii="Calibri" w:hAnsi="Calibri" w:cs="Arial"/>
          <w:sz w:val="15"/>
          <w:szCs w:val="15"/>
        </w:rPr>
      </w:pPr>
    </w:p>
    <w:p>
      <w:pPr>
        <w:pStyle w:val="Ttulo8"/>
        <w:keepNext w:val="0"/>
        <w:widowControl w:val="0"/>
        <w:jc w:val="left"/>
        <w:rPr>
          <w:rFonts w:ascii="Calibri" w:hAnsi="Calibri" w:cs="Arial"/>
          <w:bCs/>
          <w:sz w:val="15"/>
          <w:szCs w:val="15"/>
          <w:highlight w:val="lightGray"/>
          <w:u w:val="single"/>
        </w:rPr>
      </w:pPr>
      <w:r>
        <w:rPr>
          <w:rFonts w:ascii="Calibri" w:hAnsi="Calibri" w:cs="Arial"/>
          <w:bCs/>
          <w:sz w:val="15"/>
          <w:szCs w:val="15"/>
          <w:highlight w:val="lightGray"/>
          <w:u w:val="single"/>
        </w:rPr>
        <w:t>TIPO DE CONTRATO Y CONDICIONES DE PAGO:</w:t>
      </w:r>
    </w:p>
    <w:p>
      <w:pPr>
        <w:pStyle w:val="Textoindependiente"/>
        <w:widowControl w:val="0"/>
        <w:rPr>
          <w:rFonts w:ascii="Calibri" w:hAnsi="Calibri" w:cs="Arial"/>
          <w:sz w:val="15"/>
          <w:szCs w:val="15"/>
          <w:lang w:val="es-ES"/>
        </w:rPr>
      </w:pPr>
      <w:r>
        <w:rPr>
          <w:rFonts w:ascii="Calibri" w:hAnsi="Calibri" w:cs="Arial"/>
          <w:sz w:val="15"/>
          <w:szCs w:val="15"/>
          <w:lang w:val="es-ES"/>
        </w:rPr>
        <w:t>Se celebrará un contrato sobre la base de precios unitarios y tiempo determinado y se pagará mediante estimaciones de trabajos ejecutados con una periodicidad no mayor a 30 días naturales acompañadas de la documentación que acredite su procedencia y serán pagadas en un plazo no mayor a 15 días hábiles, una vez autorizadas por la supervisión y recibidas en la ventanilla única.</w:t>
      </w:r>
    </w:p>
    <w:p>
      <w:pPr>
        <w:pStyle w:val="Textoindependiente"/>
        <w:widowControl w:val="0"/>
        <w:rPr>
          <w:rFonts w:ascii="Calibri" w:hAnsi="Calibri" w:cs="Arial"/>
          <w:sz w:val="15"/>
          <w:szCs w:val="15"/>
          <w:lang w:val="es-ES"/>
        </w:rPr>
      </w:pPr>
    </w:p>
    <w:p>
      <w:pPr>
        <w:pStyle w:val="Ttulo8"/>
        <w:keepNext w:val="0"/>
        <w:widowControl w:val="0"/>
        <w:jc w:val="left"/>
        <w:rPr>
          <w:rFonts w:ascii="Calibri" w:hAnsi="Calibri" w:cs="Arial"/>
          <w:bCs/>
          <w:sz w:val="15"/>
          <w:szCs w:val="15"/>
          <w:highlight w:val="lightGray"/>
          <w:u w:val="single"/>
        </w:rPr>
      </w:pPr>
      <w:r>
        <w:rPr>
          <w:rFonts w:ascii="Calibri" w:hAnsi="Calibri" w:cs="Arial"/>
          <w:bCs/>
          <w:sz w:val="15"/>
          <w:szCs w:val="15"/>
          <w:highlight w:val="lightGray"/>
          <w:u w:val="single"/>
        </w:rPr>
        <w:t>CONDICIONES GENERALES:</w:t>
      </w:r>
    </w:p>
    <w:p>
      <w:pPr>
        <w:pStyle w:val="Textoindependiente"/>
        <w:widowControl w:val="0"/>
        <w:numPr>
          <w:ilvl w:val="0"/>
          <w:numId w:val="13"/>
        </w:numPr>
        <w:ind w:left="284" w:hanging="284"/>
        <w:rPr>
          <w:rFonts w:ascii="Calibri" w:hAnsi="Calibri" w:cs="Arial"/>
          <w:sz w:val="15"/>
          <w:szCs w:val="15"/>
          <w:lang w:val="es-ES"/>
        </w:rPr>
      </w:pPr>
      <w:r>
        <w:rPr>
          <w:rFonts w:ascii="Calibri" w:hAnsi="Calibri" w:cs="Arial"/>
          <w:sz w:val="15"/>
          <w:szCs w:val="15"/>
          <w:lang w:val="es-ES"/>
        </w:rPr>
        <w:t>Los requisitos y condiciones consignados en la presente convocatoria son invariables, salvo las modificaciones procedentes de la convocante o las derivadas de la junta de aclaraciones,</w:t>
      </w:r>
    </w:p>
    <w:p>
      <w:pPr>
        <w:pStyle w:val="Textoindependiente"/>
        <w:widowControl w:val="0"/>
        <w:numPr>
          <w:ilvl w:val="0"/>
          <w:numId w:val="13"/>
        </w:numPr>
        <w:ind w:left="284" w:hanging="284"/>
        <w:rPr>
          <w:rFonts w:ascii="Calibri" w:hAnsi="Calibri" w:cs="Arial"/>
          <w:sz w:val="15"/>
          <w:szCs w:val="15"/>
          <w:lang w:val="es-ES"/>
        </w:rPr>
      </w:pPr>
      <w:r>
        <w:rPr>
          <w:rFonts w:ascii="Calibri" w:hAnsi="Calibri" w:cs="Arial"/>
          <w:sz w:val="15"/>
          <w:szCs w:val="15"/>
          <w:lang w:val="es-ES"/>
        </w:rPr>
        <w:t>La información y documentación presentada por los licitadores podrá ser verificada por la convocante en cualquier momento, y</w:t>
      </w:r>
    </w:p>
    <w:p>
      <w:pPr>
        <w:pStyle w:val="Textoindependiente"/>
        <w:widowControl w:val="0"/>
        <w:numPr>
          <w:ilvl w:val="0"/>
          <w:numId w:val="13"/>
        </w:numPr>
        <w:ind w:left="284" w:hanging="284"/>
        <w:rPr>
          <w:rFonts w:ascii="Calibri" w:hAnsi="Calibri" w:cs="Arial"/>
          <w:sz w:val="15"/>
          <w:szCs w:val="15"/>
          <w:lang w:val="es-ES"/>
        </w:rPr>
      </w:pPr>
      <w:r>
        <w:rPr>
          <w:rFonts w:ascii="Calibri" w:hAnsi="Calibri" w:cs="Arial"/>
          <w:sz w:val="15"/>
          <w:szCs w:val="15"/>
          <w:lang w:val="es-ES"/>
        </w:rPr>
        <w:t>No podrán participar quienes se encuentren dentro de algún supuesto del artículo 16 de la LOPSRMEMG.</w:t>
      </w:r>
    </w:p>
    <w:p>
      <w:pPr>
        <w:pStyle w:val="Textoindependiente"/>
        <w:widowControl w:val="0"/>
        <w:numPr>
          <w:ilvl w:val="0"/>
          <w:numId w:val="13"/>
        </w:numPr>
        <w:ind w:left="284" w:hanging="284"/>
        <w:rPr>
          <w:rFonts w:ascii="Calibri" w:hAnsi="Calibri" w:cs="Arial"/>
          <w:sz w:val="15"/>
          <w:szCs w:val="15"/>
          <w:lang w:val="es-ES"/>
        </w:rPr>
      </w:pPr>
      <w:r>
        <w:rPr>
          <w:rFonts w:ascii="Calibri" w:hAnsi="Calibri" w:cs="Arial"/>
          <w:sz w:val="15"/>
          <w:szCs w:val="15"/>
          <w:lang w:val="es-ES"/>
        </w:rPr>
        <w:t xml:space="preserve">Las </w:t>
      </w:r>
      <w:r>
        <w:rPr>
          <w:rFonts w:ascii="Calibri" w:hAnsi="Calibri" w:cs="Arial"/>
          <w:b/>
          <w:sz w:val="15"/>
          <w:szCs w:val="15"/>
          <w:lang w:val="es-ES"/>
        </w:rPr>
        <w:t>BASES Y ANEXOS</w:t>
      </w:r>
      <w:r>
        <w:rPr>
          <w:rFonts w:ascii="Calibri" w:hAnsi="Calibri" w:cs="Arial"/>
          <w:sz w:val="15"/>
          <w:szCs w:val="15"/>
          <w:lang w:val="es-ES"/>
        </w:rPr>
        <w:t xml:space="preserve"> están disponibles para</w:t>
      </w:r>
      <w:r>
        <w:rPr>
          <w:rFonts w:ascii="Calibri" w:hAnsi="Calibri" w:cs="Arial"/>
          <w:sz w:val="15"/>
          <w:szCs w:val="15"/>
        </w:rPr>
        <w:t xml:space="preserve"> su consulta en el portal </w:t>
      </w:r>
      <w:hyperlink r:id="rId12" w:history="1">
        <w:r>
          <w:rPr>
            <w:rStyle w:val="Hipervnculo"/>
            <w:rFonts w:ascii="Calibri" w:hAnsi="Calibri" w:cs="Arial"/>
            <w:sz w:val="15"/>
            <w:szCs w:val="15"/>
          </w:rPr>
          <w:t>www.celaya.gob.mx</w:t>
        </w:r>
      </w:hyperlink>
      <w:r>
        <w:rPr>
          <w:rFonts w:ascii="Calibri" w:hAnsi="Calibri" w:cs="Arial"/>
          <w:sz w:val="15"/>
          <w:szCs w:val="15"/>
        </w:rPr>
        <w:t xml:space="preserve"> y/o en la convocante con copia del pago de bases.</w:t>
      </w:r>
    </w:p>
    <w:p>
      <w:pPr>
        <w:widowControl w:val="0"/>
        <w:ind w:left="33"/>
        <w:rPr>
          <w:rFonts w:ascii="Calibri" w:hAnsi="Calibri" w:cs="Arial"/>
          <w:sz w:val="15"/>
          <w:szCs w:val="15"/>
        </w:rPr>
      </w:pPr>
      <w:bookmarkStart w:id="0" w:name="_GoBack"/>
      <w:bookmarkEnd w:id="0"/>
    </w:p>
    <w:p>
      <w:pPr>
        <w:widowControl w:val="0"/>
        <w:ind w:left="33"/>
        <w:rPr>
          <w:rFonts w:ascii="Calibri" w:hAnsi="Calibri" w:cs="Arial"/>
          <w:sz w:val="15"/>
          <w:szCs w:val="15"/>
        </w:rPr>
      </w:pPr>
    </w:p>
    <w:p>
      <w:pPr>
        <w:widowControl w:val="0"/>
        <w:ind w:left="33"/>
        <w:rPr>
          <w:rFonts w:ascii="Calibri" w:hAnsi="Calibri" w:cs="Arial"/>
          <w:sz w:val="15"/>
          <w:szCs w:val="15"/>
        </w:rPr>
      </w:pPr>
    </w:p>
    <w:p>
      <w:pPr>
        <w:widowControl w:val="0"/>
        <w:ind w:left="33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 xml:space="preserve">Celaya, Gto. </w:t>
      </w:r>
      <w:r>
        <w:rPr>
          <w:rFonts w:ascii="Calibri" w:hAnsi="Calibri" w:cs="Arial"/>
          <w:noProof/>
          <w:sz w:val="15"/>
          <w:szCs w:val="15"/>
        </w:rPr>
        <w:t>26 DE DICIEMBRE DE 2020</w:t>
      </w:r>
    </w:p>
    <w:p>
      <w:pPr>
        <w:pStyle w:val="Ttulo8"/>
        <w:keepNext w:val="0"/>
        <w:widowControl w:val="0"/>
        <w:jc w:val="left"/>
        <w:rPr>
          <w:rFonts w:ascii="Calibri" w:hAnsi="Calibri" w:cs="Arial"/>
          <w:bCs/>
          <w:color w:val="0000FF"/>
          <w:sz w:val="15"/>
          <w:szCs w:val="15"/>
        </w:rPr>
      </w:pPr>
      <w:r>
        <w:rPr>
          <w:rFonts w:ascii="Calibri" w:hAnsi="Calibri" w:cs="Arial"/>
          <w:bCs/>
          <w:color w:val="0000FF"/>
          <w:sz w:val="15"/>
          <w:szCs w:val="15"/>
        </w:rPr>
        <w:t>ING. ARQ. JUAN GASPAR GARCÍA ABOYTES</w:t>
      </w:r>
    </w:p>
    <w:p>
      <w:pPr>
        <w:widowControl w:val="0"/>
        <w:rPr>
          <w:rFonts w:ascii="Calibri" w:hAnsi="Calibri" w:cs="Arial"/>
          <w:sz w:val="15"/>
          <w:szCs w:val="15"/>
        </w:rPr>
        <w:sectPr>
          <w:type w:val="continuous"/>
          <w:pgSz w:w="15842" w:h="12242" w:orient="landscape" w:code="1"/>
          <w:pgMar w:top="567" w:right="680" w:bottom="567" w:left="680" w:header="0" w:footer="0" w:gutter="0"/>
          <w:paperSrc w:first="7" w:other="7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ep="1" w:space="340"/>
        </w:sectPr>
      </w:pPr>
      <w:r>
        <w:rPr>
          <w:rFonts w:ascii="Calibri" w:hAnsi="Calibri" w:cs="Arial"/>
          <w:sz w:val="15"/>
          <w:szCs w:val="15"/>
        </w:rPr>
        <w:t>Director General de Obras Públicas</w:t>
      </w:r>
    </w:p>
    <w:p>
      <w:pPr>
        <w:widowControl w:val="0"/>
        <w:rPr>
          <w:rFonts w:ascii="Calibri" w:hAnsi="Calibri" w:cs="Arial"/>
          <w:sz w:val="15"/>
          <w:szCs w:val="15"/>
        </w:rPr>
      </w:pPr>
    </w:p>
    <w:sectPr>
      <w:type w:val="continuous"/>
      <w:pgSz w:w="15842" w:h="12242" w:orient="landscape" w:code="1"/>
      <w:pgMar w:top="567" w:right="680" w:bottom="567" w:left="680" w:header="0" w:footer="0" w:gutter="0"/>
      <w:paperSrc w:first="7" w:other="7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3" w:sep="1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330BE3"/>
    <w:multiLevelType w:val="hybridMultilevel"/>
    <w:tmpl w:val="32705034"/>
    <w:lvl w:ilvl="0" w:tplc="2A4C2FF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8E436F"/>
    <w:multiLevelType w:val="hybridMultilevel"/>
    <w:tmpl w:val="A7F8898E"/>
    <w:lvl w:ilvl="0" w:tplc="8E10653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 w15:restartNumberingAfterBreak="1">
    <w:nsid w:val="1FDE30A1"/>
    <w:multiLevelType w:val="hybridMultilevel"/>
    <w:tmpl w:val="85FA3856"/>
    <w:lvl w:ilvl="0" w:tplc="76F65F76">
      <w:start w:val="1"/>
      <w:numFmt w:val="upp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AE14C01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32F68E9"/>
    <w:multiLevelType w:val="hybridMultilevel"/>
    <w:tmpl w:val="A7F8898E"/>
    <w:lvl w:ilvl="0" w:tplc="7144BD6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" w15:restartNumberingAfterBreak="1">
    <w:nsid w:val="290B372F"/>
    <w:multiLevelType w:val="hybridMultilevel"/>
    <w:tmpl w:val="00C6E938"/>
    <w:lvl w:ilvl="0" w:tplc="EE7E011C">
      <w:start w:val="1"/>
      <w:numFmt w:val="decimal"/>
      <w:lvlText w:val="%1.-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A6E6C73"/>
    <w:multiLevelType w:val="hybridMultilevel"/>
    <w:tmpl w:val="6AB64B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</w:rPr>
    </w:lvl>
    <w:lvl w:ilvl="1" w:tplc="AE14C01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B38BF"/>
    <w:multiLevelType w:val="hybridMultilevel"/>
    <w:tmpl w:val="66DC6F8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6FD54A8"/>
    <w:multiLevelType w:val="hybridMultilevel"/>
    <w:tmpl w:val="D76AB3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3AB31DB6"/>
    <w:multiLevelType w:val="hybridMultilevel"/>
    <w:tmpl w:val="0CBE5528"/>
    <w:lvl w:ilvl="0" w:tplc="32BCB696">
      <w:start w:val="1"/>
      <w:numFmt w:val="decimal"/>
      <w:lvlText w:val="%1.-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CF94B82"/>
    <w:multiLevelType w:val="hybridMultilevel"/>
    <w:tmpl w:val="66A8DC08"/>
    <w:lvl w:ilvl="0" w:tplc="C17094E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DFE620A"/>
    <w:multiLevelType w:val="hybridMultilevel"/>
    <w:tmpl w:val="62944D14"/>
    <w:lvl w:ilvl="0" w:tplc="E4CA9A48">
      <w:start w:val="1"/>
      <w:numFmt w:val="decimal"/>
      <w:lvlText w:val="%1.-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51B8434B"/>
    <w:multiLevelType w:val="hybridMultilevel"/>
    <w:tmpl w:val="C068D260"/>
    <w:lvl w:ilvl="0" w:tplc="76F65F76">
      <w:start w:val="1"/>
      <w:numFmt w:val="upp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55881D29"/>
    <w:multiLevelType w:val="hybridMultilevel"/>
    <w:tmpl w:val="A7F8898E"/>
    <w:lvl w:ilvl="0" w:tplc="AD041C22">
      <w:start w:val="1"/>
      <w:numFmt w:val="bullet"/>
      <w:lvlText w:val=""/>
      <w:lvlJc w:val="left"/>
      <w:pPr>
        <w:tabs>
          <w:tab w:val="num" w:pos="750"/>
        </w:tabs>
        <w:ind w:left="74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3" w15:restartNumberingAfterBreak="1">
    <w:nsid w:val="61C8129F"/>
    <w:multiLevelType w:val="hybridMultilevel"/>
    <w:tmpl w:val="40E26824"/>
    <w:lvl w:ilvl="0" w:tplc="AD041C2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4D16223"/>
    <w:multiLevelType w:val="hybridMultilevel"/>
    <w:tmpl w:val="61183466"/>
    <w:lvl w:ilvl="0" w:tplc="8CEA72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88C5BDC"/>
    <w:multiLevelType w:val="hybridMultilevel"/>
    <w:tmpl w:val="DE781FB4"/>
    <w:lvl w:ilvl="0" w:tplc="1E4A7D62">
      <w:start w:val="1"/>
      <w:numFmt w:val="decimal"/>
      <w:lvlText w:val="%1.-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auto"/>
        <w:u w:val="none"/>
      </w:rPr>
    </w:lvl>
    <w:lvl w:ilvl="1" w:tplc="C0EE081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06A2D8E">
      <w:start w:val="1"/>
      <w:numFmt w:val="bullet"/>
      <w:lvlText w:val=""/>
      <w:lvlJc w:val="left"/>
      <w:pPr>
        <w:tabs>
          <w:tab w:val="num" w:pos="2340"/>
        </w:tabs>
        <w:ind w:left="2337" w:hanging="357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8447624-4F12-4775-9C1A-1CD3C146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1416" w:firstLine="708"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Verdana" w:hAnsi="Verdana" w:cs="Tahoma"/>
      <w:b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"/>
      <w:b/>
      <w:bCs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  <w:lang w:val="es-ES_tradnl"/>
    </w:rPr>
  </w:style>
  <w:style w:type="paragraph" w:styleId="Subttulo">
    <w:name w:val="Subtitle"/>
    <w:basedOn w:val="Normal"/>
    <w:qFormat/>
    <w:pPr>
      <w:jc w:val="center"/>
    </w:pPr>
    <w:rPr>
      <w:b/>
      <w:sz w:val="40"/>
      <w:lang w:val="es-ES_tradnl"/>
    </w:rPr>
  </w:style>
  <w:style w:type="paragraph" w:styleId="Textoindependiente">
    <w:name w:val="Body Text"/>
    <w:basedOn w:val="Normal"/>
    <w:semiHidden/>
    <w:pPr>
      <w:jc w:val="both"/>
    </w:pPr>
    <w:rPr>
      <w:sz w:val="16"/>
      <w:lang w:val="es-ES_tradnl"/>
    </w:rPr>
  </w:style>
  <w:style w:type="paragraph" w:styleId="Sangra2detindependiente">
    <w:name w:val="Body Text Indent 2"/>
    <w:basedOn w:val="Normal"/>
    <w:semiHidden/>
    <w:pPr>
      <w:ind w:left="72" w:firstLine="39"/>
      <w:jc w:val="center"/>
    </w:pPr>
    <w:rPr>
      <w:sz w:val="18"/>
      <w:lang w:val="en-US"/>
    </w:rPr>
  </w:style>
  <w:style w:type="paragraph" w:styleId="Sangra3detindependiente">
    <w:name w:val="Body Text Indent 3"/>
    <w:basedOn w:val="Normal"/>
    <w:semiHidden/>
    <w:pPr>
      <w:ind w:left="284" w:hanging="284"/>
      <w:jc w:val="both"/>
    </w:pPr>
    <w:rPr>
      <w:rFonts w:ascii="Arial" w:hAnsi="Arial"/>
      <w:sz w:val="16"/>
      <w:lang w:val="es-ES_tradnl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rFonts w:ascii="Tahoma" w:hAnsi="Tahoma" w:cs="Tahoma"/>
      <w:color w:val="0000FF"/>
      <w:sz w:val="16"/>
    </w:rPr>
  </w:style>
  <w:style w:type="paragraph" w:styleId="Textoindependiente3">
    <w:name w:val="Body Text 3"/>
    <w:basedOn w:val="Normal"/>
    <w:semiHidden/>
    <w:pPr>
      <w:jc w:val="center"/>
    </w:pPr>
    <w:rPr>
      <w:rFonts w:ascii="Arial Narrow" w:hAnsi="Arial Narrow" w:cs="Arial"/>
      <w:sz w:val="16"/>
    </w:rPr>
  </w:style>
  <w:style w:type="paragraph" w:styleId="Sangradetextonormal">
    <w:name w:val="Body Text Indent"/>
    <w:basedOn w:val="Normal"/>
    <w:semiHidden/>
    <w:pPr>
      <w:ind w:left="33"/>
      <w:jc w:val="both"/>
    </w:pPr>
    <w:rPr>
      <w:rFonts w:ascii="Arial Narrow" w:hAnsi="Arial Narrow" w:cs="Arial"/>
      <w:sz w:val="16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laya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5F5A-83BF-42C2-9C45-7540DFC3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1339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GUANAJUATO</vt:lpstr>
    </vt:vector>
  </TitlesOfParts>
  <Company> </Company>
  <LinksUpToDate>false</LinksUpToDate>
  <CharactersWithSpaces>8692</CharactersWithSpaces>
  <SharedDoc>false</SharedDoc>
  <HLinks>
    <vt:vector size="6" baseType="variant">
      <vt:variant>
        <vt:i4>4849757</vt:i4>
      </vt:variant>
      <vt:variant>
        <vt:i4>66</vt:i4>
      </vt:variant>
      <vt:variant>
        <vt:i4>0</vt:i4>
      </vt:variant>
      <vt:variant>
        <vt:i4>5</vt:i4>
      </vt:variant>
      <vt:variant>
        <vt:lpwstr>http://www.celaya.gob.mx/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GUANAJUATO</dc:title>
  <dc:subject/>
  <dc:creator>Gobierno del Estado Obra Publ</dc:creator>
  <cp:keywords/>
  <dc:description/>
  <cp:lastModifiedBy>Usuario</cp:lastModifiedBy>
  <cp:revision>9</cp:revision>
  <cp:lastPrinted>2020-12-22T21:23:00Z</cp:lastPrinted>
  <dcterms:created xsi:type="dcterms:W3CDTF">2020-12-22T17:13:00Z</dcterms:created>
  <dcterms:modified xsi:type="dcterms:W3CDTF">2020-12-22T22:09:00Z</dcterms:modified>
</cp:coreProperties>
</file>