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39" w:rsidRDefault="000C0339" w:rsidP="00917393">
      <w:pPr>
        <w:tabs>
          <w:tab w:val="left" w:leader="underscore" w:pos="9639"/>
        </w:tabs>
        <w:spacing w:after="0" w:line="360" w:lineRule="auto"/>
        <w:jc w:val="center"/>
      </w:pPr>
      <w:bookmarkStart w:id="0" w:name="_GoBack"/>
      <w:bookmarkEnd w:id="0"/>
    </w:p>
    <w:p w:rsidR="007D1E76" w:rsidRPr="00527383" w:rsidRDefault="00C81695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  <w:b/>
        </w:rPr>
      </w:pPr>
      <w:hyperlink r:id="rId11" w:history="1">
        <w:r w:rsidR="007D1E76" w:rsidRPr="00527383">
          <w:rPr>
            <w:rStyle w:val="Hipervnculo"/>
            <w:rFonts w:ascii="Arial" w:hAnsi="Arial" w:cs="Arial"/>
            <w:b/>
          </w:rPr>
          <w:t>NOTAS DE GESTIÓN ADMINISTRATIVA</w:t>
        </w:r>
      </w:hyperlink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Financieros de los entes públicos, proveen de información financiera a los principales usuarios de la misma, al</w:t>
      </w:r>
      <w:r w:rsidR="00E00323" w:rsidRPr="00917393">
        <w:rPr>
          <w:rFonts w:ascii="Arial" w:hAnsi="Arial" w:cs="Arial"/>
        </w:rPr>
        <w:t xml:space="preserve"> Congreso y a los ciudadanos.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</w:t>
      </w:r>
      <w:r w:rsidR="00E00323" w:rsidRPr="00917393">
        <w:rPr>
          <w:rFonts w:ascii="Arial" w:hAnsi="Arial" w:cs="Arial"/>
        </w:rPr>
        <w:t>ismos y sus particularidades.</w:t>
      </w:r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 esta manera, se informa y explica la respuesta del gobierno a las condiciones relacionadas con la información financiera de cada período de gestión; además, de exponer aquellas políticas que podrían afectar la toma de decisi</w:t>
      </w:r>
      <w:r w:rsidR="00E00323" w:rsidRPr="00917393">
        <w:rPr>
          <w:rFonts w:ascii="Arial" w:hAnsi="Arial" w:cs="Arial"/>
        </w:rPr>
        <w:t>ones en períodos posteriores.</w:t>
      </w:r>
    </w:p>
    <w:p w:rsidR="005009AD" w:rsidRDefault="005009AD" w:rsidP="005009AD">
      <w:pPr>
        <w:pStyle w:val="Prrafodelista"/>
        <w:tabs>
          <w:tab w:val="left" w:leader="underscore" w:pos="9639"/>
        </w:tabs>
        <w:spacing w:after="0" w:line="360" w:lineRule="auto"/>
        <w:ind w:left="141"/>
        <w:jc w:val="both"/>
        <w:rPr>
          <w:rFonts w:ascii="Arial" w:hAnsi="Arial" w:cs="Arial"/>
        </w:rPr>
      </w:pPr>
    </w:p>
    <w:p w:rsidR="007D1E76" w:rsidRPr="00917393" w:rsidRDefault="006942FE" w:rsidP="005009AD">
      <w:pPr>
        <w:pStyle w:val="Prrafodelista"/>
        <w:tabs>
          <w:tab w:val="left" w:leader="underscore" w:pos="9639"/>
        </w:tabs>
        <w:spacing w:after="0" w:line="360" w:lineRule="auto"/>
        <w:ind w:lef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E76" w:rsidRPr="00917393">
        <w:rPr>
          <w:rFonts w:ascii="Arial" w:hAnsi="Arial" w:cs="Arial"/>
        </w:rPr>
        <w:t>Las notas de gestión administrativa deben contener los siguientes puntos:</w:t>
      </w:r>
    </w:p>
    <w:p w:rsidR="00F46719" w:rsidRPr="00274C6F" w:rsidRDefault="00F46719" w:rsidP="00917393">
      <w:pPr>
        <w:pStyle w:val="TtulodeTDC"/>
        <w:spacing w:before="0" w:line="360" w:lineRule="auto"/>
        <w:rPr>
          <w:rFonts w:ascii="Arial" w:hAnsi="Arial" w:cs="Arial"/>
          <w:b/>
          <w:bCs/>
          <w:sz w:val="22"/>
          <w:szCs w:val="22"/>
        </w:rPr>
      </w:pPr>
      <w:r w:rsidRPr="00274C6F">
        <w:rPr>
          <w:rFonts w:ascii="Arial" w:hAnsi="Arial" w:cs="Arial"/>
          <w:b/>
          <w:bCs/>
          <w:sz w:val="22"/>
          <w:szCs w:val="22"/>
          <w:lang w:val="es-ES"/>
        </w:rPr>
        <w:t>Contenido</w:t>
      </w:r>
    </w:p>
    <w:p w:rsidR="00E04DA4" w:rsidRPr="006B6702" w:rsidRDefault="00F46719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r w:rsidR="00E04DA4" w:rsidRPr="006B6702">
        <w:rPr>
          <w:rFonts w:ascii="Arial" w:hAnsi="Arial" w:cs="Arial"/>
        </w:rPr>
        <w:t>1. Introducción:</w:t>
      </w:r>
      <w:r w:rsidR="00E04DA4" w:rsidRPr="006B6702">
        <w:rPr>
          <w:rFonts w:ascii="Arial" w:hAnsi="Arial" w:cs="Arial"/>
        </w:rPr>
        <w:tab/>
        <w:t>.</w:t>
      </w:r>
      <w:r w:rsidR="00E04DA4">
        <w:rPr>
          <w:rFonts w:ascii="Arial" w:hAnsi="Arial" w:cs="Arial"/>
        </w:rPr>
        <w:t>2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2. Describir el panorama Económico y Financiero: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3. Autorización e Historia: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4. Organización y Objeto Social: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5. Bases de Preparación de los Estados Financieros: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6. Políticas de Contabilidad Significativas: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4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7. Posición en Moneda Extranjera y Protección por Riesgo Cambiario: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5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8. Reporte Analítico del Activo: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6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9. Fideicomisos, Mandatos y Análogos: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8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10. Reporte de la Recaudación: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11. Información sobre la Deuda y el Reporte Analítico de la Deuda: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12. Calificaciones otorgadas: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13. Proceso de Mejora: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14. Información por Segmentos: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15. Eventos Posteriores al Cierre: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16. Partes Relacionadas: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</w:p>
    <w:p w:rsidR="00E04DA4" w:rsidRPr="00917393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17. Responsabilidad Sobre la Presentación Razonable de la Información Contable: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r w:rsidRPr="00917393">
        <w:rPr>
          <w:rFonts w:ascii="Arial" w:hAnsi="Arial" w:cs="Arial"/>
          <w:bCs/>
          <w:lang w:val="es-ES"/>
        </w:rPr>
        <w:fldChar w:fldCharType="end"/>
      </w:r>
    </w:p>
    <w:p w:rsidR="00E04DA4" w:rsidRDefault="00E04DA4" w:rsidP="00E04DA4">
      <w:pPr>
        <w:pStyle w:val="TDC2"/>
        <w:tabs>
          <w:tab w:val="right" w:leader="dot" w:pos="9678"/>
        </w:tabs>
        <w:spacing w:after="0" w:line="360" w:lineRule="auto"/>
      </w:pPr>
    </w:p>
    <w:p w:rsidR="00917393" w:rsidRPr="00E04DA4" w:rsidRDefault="00F46719" w:rsidP="00E04DA4">
      <w:pPr>
        <w:pStyle w:val="TDC2"/>
        <w:tabs>
          <w:tab w:val="right" w:leader="dot" w:pos="9678"/>
        </w:tabs>
        <w:spacing w:after="0" w:line="360" w:lineRule="auto"/>
        <w:ind w:left="0"/>
        <w:rPr>
          <w:rFonts w:ascii="Arial" w:hAnsi="Arial" w:cs="Arial"/>
        </w:rPr>
      </w:pPr>
      <w:r w:rsidRPr="00917393">
        <w:rPr>
          <w:rFonts w:ascii="Arial" w:hAnsi="Arial" w:cs="Arial"/>
          <w:bCs/>
          <w:lang w:val="es-ES"/>
        </w:rPr>
        <w:fldChar w:fldCharType="end"/>
      </w:r>
      <w:bookmarkStart w:id="1" w:name="_Toc508279621"/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17393">
        <w:rPr>
          <w:rFonts w:ascii="Arial" w:hAnsi="Arial" w:cs="Arial"/>
          <w:b/>
          <w:color w:val="auto"/>
          <w:sz w:val="22"/>
          <w:szCs w:val="22"/>
        </w:rPr>
        <w:t>1. Introducción:</w:t>
      </w:r>
      <w:bookmarkEnd w:id="1"/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AA7461" w:rsidRPr="00917393">
        <w:rPr>
          <w:rFonts w:ascii="Arial" w:hAnsi="Arial" w:cs="Arial"/>
        </w:rPr>
        <w:t>nstituto Municipal de Vivienda del Municipio de Celaya, Guanajuato,</w:t>
      </w:r>
      <w:r w:rsidR="00D800D1" w:rsidRPr="00917393">
        <w:rPr>
          <w:rFonts w:ascii="Arial" w:hAnsi="Arial" w:cs="Arial"/>
        </w:rPr>
        <w:t xml:space="preserve"> (IMUVI CELAYA)</w:t>
      </w:r>
      <w:r w:rsidR="00AA7461" w:rsidRPr="00917393">
        <w:rPr>
          <w:rFonts w:ascii="Arial" w:hAnsi="Arial" w:cs="Arial"/>
        </w:rPr>
        <w:t xml:space="preserve"> es un organismo descentralizado, el cual tiene entre otras las siguientes funciones.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puedan adquirir, mejorar o construir su vivienda o en su caso, poder adquirir un lote.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Difundir e informar a la población los programas y acciones de vivienda, para que se</w:t>
      </w:r>
      <w:r w:rsidRPr="00917393">
        <w:rPr>
          <w:rFonts w:ascii="Arial" w:hAnsi="Arial" w:cs="Arial"/>
          <w:spacing w:val="2"/>
        </w:rPr>
        <w:t xml:space="preserve"> </w:t>
      </w:r>
      <w:r w:rsidRPr="00917393">
        <w:rPr>
          <w:rFonts w:ascii="Arial" w:hAnsi="Arial" w:cs="Arial"/>
        </w:rPr>
        <w:t>tenga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 xml:space="preserve">un mejor conocimiento y participación en las mismas. 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la Comisión de Vivienda del Estado de Guanajuato y las instancias Federales que incidan en la materia.</w:t>
      </w:r>
    </w:p>
    <w:p w:rsidR="0054701E" w:rsidRPr="00917393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Toc508279622"/>
      <w:r w:rsidRPr="00917393">
        <w:rPr>
          <w:rFonts w:ascii="Arial" w:hAnsi="Arial" w:cs="Arial"/>
          <w:b/>
          <w:color w:val="auto"/>
          <w:sz w:val="22"/>
          <w:szCs w:val="22"/>
        </w:rPr>
        <w:t>2. Describir el pan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orama Económico y Financiero:</w:t>
      </w:r>
      <w:bookmarkEnd w:id="2"/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 las principales condiciones económico-financieras bajo las cuales el ente público estuvo operando; y las cuales influyeron en la toma de decisiones de la administración; tanto a nivel local como federal.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401CAE" w:rsidRDefault="00E4258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732D26">
        <w:rPr>
          <w:rFonts w:ascii="Arial" w:hAnsi="Arial" w:cs="Arial"/>
        </w:rPr>
        <w:t xml:space="preserve">el </w:t>
      </w:r>
      <w:r w:rsidR="00B51EC4">
        <w:rPr>
          <w:rFonts w:ascii="Arial" w:hAnsi="Arial" w:cs="Arial"/>
        </w:rPr>
        <w:t>tercer</w:t>
      </w:r>
      <w:r w:rsidR="00B27A82">
        <w:rPr>
          <w:rFonts w:ascii="Arial" w:hAnsi="Arial" w:cs="Arial"/>
        </w:rPr>
        <w:t xml:space="preserve"> trimestre del </w:t>
      </w:r>
      <w:r>
        <w:rPr>
          <w:rFonts w:ascii="Arial" w:hAnsi="Arial" w:cs="Arial"/>
        </w:rPr>
        <w:t>ejercicio 20</w:t>
      </w:r>
      <w:r w:rsidR="00B27A82">
        <w:rPr>
          <w:rFonts w:ascii="Arial" w:hAnsi="Arial" w:cs="Arial"/>
        </w:rPr>
        <w:t>20</w:t>
      </w:r>
      <w:r w:rsidR="00732D26">
        <w:rPr>
          <w:rFonts w:ascii="Arial" w:hAnsi="Arial" w:cs="Arial"/>
        </w:rPr>
        <w:t xml:space="preserve"> el</w:t>
      </w:r>
      <w:r w:rsidR="00AA7461" w:rsidRPr="00917393">
        <w:rPr>
          <w:rFonts w:ascii="Arial" w:hAnsi="Arial" w:cs="Arial"/>
        </w:rPr>
        <w:t xml:space="preserve"> Instituto</w:t>
      </w:r>
      <w:r w:rsidR="00732D26">
        <w:rPr>
          <w:rFonts w:ascii="Arial" w:hAnsi="Arial" w:cs="Arial"/>
        </w:rPr>
        <w:t xml:space="preserve"> Municipal de Vivienda c</w:t>
      </w:r>
      <w:r w:rsidR="00B27A82">
        <w:rPr>
          <w:rFonts w:ascii="Arial" w:hAnsi="Arial" w:cs="Arial"/>
        </w:rPr>
        <w:t>uenta</w:t>
      </w:r>
      <w:r w:rsidR="00732D26">
        <w:rPr>
          <w:rFonts w:ascii="Arial" w:hAnsi="Arial" w:cs="Arial"/>
        </w:rPr>
        <w:t xml:space="preserve"> con un presupuesto de ingresos recaudados de; </w:t>
      </w:r>
      <w:r w:rsidR="00B27A82">
        <w:rPr>
          <w:rFonts w:ascii="Arial" w:hAnsi="Arial" w:cs="Arial"/>
        </w:rPr>
        <w:t xml:space="preserve">$ </w:t>
      </w:r>
      <w:r w:rsidR="00F815C6">
        <w:rPr>
          <w:rFonts w:ascii="Arial" w:hAnsi="Arial" w:cs="Arial"/>
        </w:rPr>
        <w:t>9</w:t>
      </w:r>
      <w:r w:rsidR="00B27A82">
        <w:rPr>
          <w:rFonts w:ascii="Arial" w:hAnsi="Arial" w:cs="Arial"/>
        </w:rPr>
        <w:t>’</w:t>
      </w:r>
      <w:r w:rsidR="00F815C6">
        <w:rPr>
          <w:rFonts w:ascii="Arial" w:hAnsi="Arial" w:cs="Arial"/>
        </w:rPr>
        <w:t>833</w:t>
      </w:r>
      <w:r w:rsidR="00401CAE">
        <w:rPr>
          <w:rFonts w:ascii="Arial" w:hAnsi="Arial" w:cs="Arial"/>
        </w:rPr>
        <w:t>,</w:t>
      </w:r>
      <w:r w:rsidR="00F815C6">
        <w:rPr>
          <w:rFonts w:ascii="Arial" w:hAnsi="Arial" w:cs="Arial"/>
        </w:rPr>
        <w:t>824</w:t>
      </w:r>
      <w:r w:rsidR="00401CAE">
        <w:rPr>
          <w:rFonts w:ascii="Arial" w:hAnsi="Arial" w:cs="Arial"/>
        </w:rPr>
        <w:t>.</w:t>
      </w:r>
      <w:r w:rsidR="00F815C6">
        <w:rPr>
          <w:rFonts w:ascii="Arial" w:hAnsi="Arial" w:cs="Arial"/>
        </w:rPr>
        <w:t>50</w:t>
      </w:r>
      <w:r w:rsidR="00732D26" w:rsidRPr="00732D26"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>(</w:t>
      </w:r>
      <w:r w:rsidR="00F815C6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 xml:space="preserve">millones, </w:t>
      </w:r>
      <w:r w:rsidR="00F815C6">
        <w:rPr>
          <w:rFonts w:ascii="Arial" w:hAnsi="Arial" w:cs="Arial"/>
        </w:rPr>
        <w:t>ochocientos</w:t>
      </w:r>
      <w:r w:rsidR="00401CAE">
        <w:rPr>
          <w:rFonts w:ascii="Arial" w:hAnsi="Arial" w:cs="Arial"/>
        </w:rPr>
        <w:t xml:space="preserve"> </w:t>
      </w:r>
      <w:r w:rsidR="00F815C6">
        <w:rPr>
          <w:rFonts w:ascii="Arial" w:hAnsi="Arial" w:cs="Arial"/>
        </w:rPr>
        <w:t>treinta</w:t>
      </w:r>
      <w:r w:rsidR="00401CAE">
        <w:rPr>
          <w:rFonts w:ascii="Arial" w:hAnsi="Arial" w:cs="Arial"/>
        </w:rPr>
        <w:t xml:space="preserve"> y </w:t>
      </w:r>
      <w:r w:rsidR="00F815C6">
        <w:rPr>
          <w:rFonts w:ascii="Arial" w:hAnsi="Arial" w:cs="Arial"/>
        </w:rPr>
        <w:t>tres</w:t>
      </w:r>
      <w:r w:rsidR="00732D26">
        <w:rPr>
          <w:rFonts w:ascii="Arial" w:hAnsi="Arial" w:cs="Arial"/>
        </w:rPr>
        <w:t xml:space="preserve"> mil, </w:t>
      </w:r>
      <w:r w:rsidR="00F815C6">
        <w:rPr>
          <w:rFonts w:ascii="Arial" w:hAnsi="Arial" w:cs="Arial"/>
        </w:rPr>
        <w:t>ocho</w:t>
      </w:r>
      <w:r w:rsidR="00401CAE">
        <w:rPr>
          <w:rFonts w:ascii="Arial" w:hAnsi="Arial" w:cs="Arial"/>
        </w:rPr>
        <w:t xml:space="preserve">cientos </w:t>
      </w:r>
      <w:r w:rsidR="00F815C6">
        <w:rPr>
          <w:rFonts w:ascii="Arial" w:hAnsi="Arial" w:cs="Arial"/>
        </w:rPr>
        <w:t>veinticuatro</w:t>
      </w:r>
      <w:r w:rsidR="00732D26">
        <w:rPr>
          <w:rFonts w:ascii="Arial" w:hAnsi="Arial" w:cs="Arial"/>
        </w:rPr>
        <w:t xml:space="preserve"> </w:t>
      </w:r>
      <w:r w:rsidR="00F815C6">
        <w:rPr>
          <w:rFonts w:ascii="Arial" w:hAnsi="Arial" w:cs="Arial"/>
        </w:rPr>
        <w:t>50</w:t>
      </w:r>
      <w:r w:rsidR="00AA7461" w:rsidRPr="00917393">
        <w:rPr>
          <w:rFonts w:ascii="Arial" w:hAnsi="Arial" w:cs="Arial"/>
        </w:rPr>
        <w:t xml:space="preserve">/100 m.n.) </w:t>
      </w:r>
      <w:r w:rsidR="00732D26">
        <w:rPr>
          <w:rFonts w:ascii="Arial" w:hAnsi="Arial" w:cs="Arial"/>
        </w:rPr>
        <w:t>y un presupuesto de egresos ejercido de;</w:t>
      </w:r>
      <w:r w:rsidR="00B27A82">
        <w:rPr>
          <w:rFonts w:ascii="Arial" w:hAnsi="Arial" w:cs="Arial"/>
        </w:rPr>
        <w:t xml:space="preserve"> </w:t>
      </w:r>
    </w:p>
    <w:p w:rsidR="00AA7461" w:rsidRPr="00917393" w:rsidRDefault="00401CAE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 w:rsidR="00F815C6">
        <w:rPr>
          <w:rFonts w:ascii="Arial" w:hAnsi="Arial" w:cs="Arial"/>
        </w:rPr>
        <w:t>5</w:t>
      </w:r>
      <w:r w:rsidR="00B27A82">
        <w:rPr>
          <w:rFonts w:ascii="Arial" w:hAnsi="Arial" w:cs="Arial"/>
        </w:rPr>
        <w:t>’</w:t>
      </w:r>
      <w:r>
        <w:rPr>
          <w:rFonts w:ascii="Arial" w:hAnsi="Arial" w:cs="Arial"/>
        </w:rPr>
        <w:t>5</w:t>
      </w:r>
      <w:r w:rsidR="00F815C6">
        <w:rPr>
          <w:rFonts w:ascii="Arial" w:hAnsi="Arial" w:cs="Arial"/>
        </w:rPr>
        <w:t>07</w:t>
      </w:r>
      <w:r>
        <w:rPr>
          <w:rFonts w:ascii="Arial" w:hAnsi="Arial" w:cs="Arial"/>
        </w:rPr>
        <w:t>,0</w:t>
      </w:r>
      <w:r w:rsidR="00F815C6">
        <w:rPr>
          <w:rFonts w:ascii="Arial" w:hAnsi="Arial" w:cs="Arial"/>
        </w:rPr>
        <w:t>90</w:t>
      </w:r>
      <w:r>
        <w:rPr>
          <w:rFonts w:ascii="Arial" w:hAnsi="Arial" w:cs="Arial"/>
        </w:rPr>
        <w:t>.1</w:t>
      </w:r>
      <w:r w:rsidR="00F815C6">
        <w:rPr>
          <w:rFonts w:ascii="Arial" w:hAnsi="Arial" w:cs="Arial"/>
        </w:rPr>
        <w:t>4</w:t>
      </w:r>
      <w:r w:rsidR="00B27A82">
        <w:rPr>
          <w:rFonts w:ascii="Arial" w:hAnsi="Arial" w:cs="Arial"/>
        </w:rPr>
        <w:t xml:space="preserve"> </w:t>
      </w:r>
      <w:r w:rsidR="00732D26">
        <w:rPr>
          <w:rFonts w:ascii="Arial" w:hAnsi="Arial" w:cs="Arial"/>
        </w:rPr>
        <w:t>(</w:t>
      </w:r>
      <w:r w:rsidR="00F815C6">
        <w:rPr>
          <w:rFonts w:ascii="Arial" w:hAnsi="Arial" w:cs="Arial"/>
        </w:rPr>
        <w:t>Cinco</w:t>
      </w:r>
      <w:r w:rsidR="00732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millones</w:t>
      </w:r>
      <w:r w:rsidR="00732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quinientos</w:t>
      </w:r>
      <w:r w:rsidR="00F815C6">
        <w:rPr>
          <w:rFonts w:ascii="Arial" w:hAnsi="Arial" w:cs="Arial"/>
        </w:rPr>
        <w:t xml:space="preserve"> siete mil</w:t>
      </w:r>
      <w:r w:rsidR="000C0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noventa</w:t>
      </w:r>
      <w:r w:rsidR="000C0339">
        <w:rPr>
          <w:rFonts w:ascii="Arial" w:hAnsi="Arial" w:cs="Arial"/>
        </w:rPr>
        <w:t xml:space="preserve"> pesos </w:t>
      </w:r>
      <w:r>
        <w:rPr>
          <w:rFonts w:ascii="Arial" w:hAnsi="Arial" w:cs="Arial"/>
        </w:rPr>
        <w:t>1</w:t>
      </w:r>
      <w:r w:rsidR="00F815C6">
        <w:rPr>
          <w:rFonts w:ascii="Arial" w:hAnsi="Arial" w:cs="Arial"/>
        </w:rPr>
        <w:t>4</w:t>
      </w:r>
      <w:r w:rsidR="000C0339">
        <w:rPr>
          <w:rFonts w:ascii="Arial" w:hAnsi="Arial" w:cs="Arial"/>
        </w:rPr>
        <w:t xml:space="preserve">/100 m.n.). </w:t>
      </w:r>
      <w:r w:rsidR="00B27A82">
        <w:rPr>
          <w:rFonts w:ascii="Arial" w:hAnsi="Arial" w:cs="Arial"/>
        </w:rPr>
        <w:t xml:space="preserve">Así </w:t>
      </w:r>
      <w:r w:rsidR="00AA7461" w:rsidRPr="00917393">
        <w:rPr>
          <w:rFonts w:ascii="Arial" w:hAnsi="Arial" w:cs="Arial"/>
        </w:rPr>
        <w:t xml:space="preserve">mismo </w:t>
      </w:r>
      <w:r w:rsidR="00D50D90" w:rsidRPr="00917393">
        <w:rPr>
          <w:rFonts w:ascii="Arial" w:hAnsi="Arial" w:cs="Arial"/>
        </w:rPr>
        <w:t>de</w:t>
      </w:r>
      <w:r w:rsidR="00D50D90">
        <w:rPr>
          <w:rFonts w:ascii="Arial" w:hAnsi="Arial" w:cs="Arial"/>
        </w:rPr>
        <w:t>ntro de</w:t>
      </w:r>
      <w:r w:rsidR="00D50D90" w:rsidRPr="00917393">
        <w:rPr>
          <w:rFonts w:ascii="Arial" w:hAnsi="Arial" w:cs="Arial"/>
        </w:rPr>
        <w:t xml:space="preserve">l </w:t>
      </w:r>
      <w:r w:rsidR="00D50D90">
        <w:rPr>
          <w:rFonts w:ascii="Arial" w:hAnsi="Arial" w:cs="Arial"/>
        </w:rPr>
        <w:t>programa General de O</w:t>
      </w:r>
      <w:r w:rsidR="00D50D90" w:rsidRPr="00677479">
        <w:rPr>
          <w:rFonts w:ascii="Arial" w:hAnsi="Arial" w:cs="Arial"/>
        </w:rPr>
        <w:t>bra</w:t>
      </w:r>
      <w:r w:rsidR="00D50D90" w:rsidRPr="00917393">
        <w:rPr>
          <w:rFonts w:ascii="Arial" w:hAnsi="Arial" w:cs="Arial"/>
        </w:rPr>
        <w:t xml:space="preserve"> </w:t>
      </w:r>
      <w:r w:rsidR="00CC1EDC">
        <w:rPr>
          <w:rFonts w:ascii="Arial" w:hAnsi="Arial" w:cs="Arial"/>
        </w:rPr>
        <w:t>se consideró</w:t>
      </w:r>
      <w:r w:rsidR="00D50D90">
        <w:rPr>
          <w:rFonts w:ascii="Arial" w:hAnsi="Arial" w:cs="Arial"/>
        </w:rPr>
        <w:t xml:space="preserve"> que el Instituto ejecute</w:t>
      </w:r>
      <w:r w:rsidR="00AA7461" w:rsidRPr="00677479">
        <w:rPr>
          <w:rFonts w:ascii="Arial" w:hAnsi="Arial" w:cs="Arial"/>
        </w:rPr>
        <w:t xml:space="preserve"> un monto de </w:t>
      </w:r>
      <w:r w:rsidR="00AA7461" w:rsidRPr="00665501">
        <w:rPr>
          <w:rFonts w:ascii="Arial" w:hAnsi="Arial" w:cs="Arial"/>
        </w:rPr>
        <w:t>$</w:t>
      </w:r>
      <w:r w:rsidR="00D50D90" w:rsidRPr="00665501">
        <w:rPr>
          <w:rFonts w:ascii="Arial" w:hAnsi="Arial" w:cs="Arial"/>
        </w:rPr>
        <w:t xml:space="preserve"> 8’000</w:t>
      </w:r>
      <w:r w:rsidR="00CC1EDC" w:rsidRPr="00665501">
        <w:rPr>
          <w:rFonts w:ascii="Arial" w:hAnsi="Arial" w:cs="Arial"/>
        </w:rPr>
        <w:t>,000.00</w:t>
      </w:r>
      <w:r w:rsidR="00CC1EDC">
        <w:rPr>
          <w:rFonts w:ascii="Arial" w:hAnsi="Arial" w:cs="Arial"/>
        </w:rPr>
        <w:t xml:space="preserve"> (O</w:t>
      </w:r>
      <w:r w:rsidR="00677479" w:rsidRPr="00677479">
        <w:rPr>
          <w:rFonts w:ascii="Arial" w:hAnsi="Arial" w:cs="Arial"/>
        </w:rPr>
        <w:t>cho</w:t>
      </w:r>
      <w:r w:rsidR="00AA7461" w:rsidRPr="00677479">
        <w:rPr>
          <w:rFonts w:ascii="Arial" w:hAnsi="Arial" w:cs="Arial"/>
        </w:rPr>
        <w:t xml:space="preserve"> millones</w:t>
      </w:r>
      <w:r w:rsidR="00D50D90">
        <w:rPr>
          <w:rFonts w:ascii="Arial" w:hAnsi="Arial" w:cs="Arial"/>
        </w:rPr>
        <w:t xml:space="preserve"> de</w:t>
      </w:r>
      <w:r w:rsidR="00677479" w:rsidRPr="00677479">
        <w:rPr>
          <w:rFonts w:ascii="Arial" w:hAnsi="Arial" w:cs="Arial"/>
        </w:rPr>
        <w:t xml:space="preserve"> </w:t>
      </w:r>
      <w:r w:rsidR="00AA7461" w:rsidRPr="00677479">
        <w:rPr>
          <w:rFonts w:ascii="Arial" w:hAnsi="Arial" w:cs="Arial"/>
        </w:rPr>
        <w:t>pesos 00/100 m.n.)</w:t>
      </w:r>
      <w:r w:rsidR="00665501">
        <w:rPr>
          <w:rFonts w:ascii="Arial" w:hAnsi="Arial" w:cs="Arial"/>
        </w:rPr>
        <w:t xml:space="preserve"> p</w:t>
      </w:r>
      <w:r w:rsidR="00D50D90">
        <w:rPr>
          <w:rFonts w:ascii="Arial" w:hAnsi="Arial" w:cs="Arial"/>
        </w:rPr>
        <w:t>ara A</w:t>
      </w:r>
      <w:r w:rsidR="00677479" w:rsidRPr="00677479">
        <w:rPr>
          <w:rFonts w:ascii="Arial" w:hAnsi="Arial" w:cs="Arial"/>
        </w:rPr>
        <w:t>mpliación</w:t>
      </w:r>
      <w:r w:rsidR="00AA7461" w:rsidRPr="00677479">
        <w:rPr>
          <w:rFonts w:ascii="Arial" w:hAnsi="Arial" w:cs="Arial"/>
        </w:rPr>
        <w:t xml:space="preserve"> de Vivienda</w:t>
      </w:r>
      <w:r>
        <w:rPr>
          <w:rFonts w:ascii="Arial" w:hAnsi="Arial" w:cs="Arial"/>
        </w:rPr>
        <w:t xml:space="preserve"> (Recamaras</w:t>
      </w:r>
      <w:r w:rsidR="00677479">
        <w:rPr>
          <w:rFonts w:ascii="Arial" w:hAnsi="Arial" w:cs="Arial"/>
        </w:rPr>
        <w:t>)</w:t>
      </w:r>
      <w:r w:rsidR="00D50D90">
        <w:rPr>
          <w:rFonts w:ascii="Arial" w:hAnsi="Arial" w:cs="Arial"/>
        </w:rPr>
        <w:t xml:space="preserve"> en zona rural y zona urbana</w:t>
      </w:r>
      <w:r w:rsidR="00CC1EDC">
        <w:rPr>
          <w:rFonts w:ascii="Arial" w:hAnsi="Arial" w:cs="Arial"/>
        </w:rPr>
        <w:t>, el cual se ejecu</w:t>
      </w:r>
      <w:r w:rsidR="00665501">
        <w:rPr>
          <w:rFonts w:ascii="Arial" w:hAnsi="Arial" w:cs="Arial"/>
        </w:rPr>
        <w:t>tará</w:t>
      </w:r>
      <w:r w:rsidR="00AA7461" w:rsidRPr="00917393">
        <w:rPr>
          <w:rFonts w:ascii="Arial" w:hAnsi="Arial" w:cs="Arial"/>
        </w:rPr>
        <w:t xml:space="preserve"> </w:t>
      </w:r>
      <w:r w:rsidR="00B502D0" w:rsidRPr="00917393">
        <w:rPr>
          <w:rFonts w:ascii="Arial" w:hAnsi="Arial" w:cs="Arial"/>
        </w:rPr>
        <w:t>en etapas</w:t>
      </w:r>
      <w:r w:rsidR="00AA7461" w:rsidRPr="00917393">
        <w:rPr>
          <w:rFonts w:ascii="Arial" w:hAnsi="Arial" w:cs="Arial"/>
        </w:rPr>
        <w:t xml:space="preserve">, sin </w:t>
      </w:r>
      <w:r w:rsidR="00B51EC4" w:rsidRPr="00917393">
        <w:rPr>
          <w:rFonts w:ascii="Arial" w:hAnsi="Arial" w:cs="Arial"/>
        </w:rPr>
        <w:t>embargo,</w:t>
      </w:r>
      <w:r w:rsidR="00AA7461" w:rsidRPr="00917393">
        <w:rPr>
          <w:rFonts w:ascii="Arial" w:hAnsi="Arial" w:cs="Arial"/>
        </w:rPr>
        <w:t xml:space="preserve"> el manejo de los recurso</w:t>
      </w:r>
      <w:r w:rsidR="00677479">
        <w:rPr>
          <w:rFonts w:ascii="Arial" w:hAnsi="Arial" w:cs="Arial"/>
        </w:rPr>
        <w:t>s</w:t>
      </w:r>
      <w:r w:rsidR="00AA7461" w:rsidRPr="00917393">
        <w:rPr>
          <w:rFonts w:ascii="Arial" w:hAnsi="Arial" w:cs="Arial"/>
        </w:rPr>
        <w:t xml:space="preserve"> será a través d</w:t>
      </w:r>
      <w:r w:rsidR="00677479">
        <w:rPr>
          <w:rFonts w:ascii="Arial" w:hAnsi="Arial" w:cs="Arial"/>
        </w:rPr>
        <w:t>e la</w:t>
      </w:r>
      <w:r w:rsidR="00D50D90">
        <w:rPr>
          <w:rFonts w:ascii="Arial" w:hAnsi="Arial" w:cs="Arial"/>
        </w:rPr>
        <w:t xml:space="preserve"> Tesorería Municipal</w:t>
      </w:r>
      <w:r w:rsidR="00D800D1" w:rsidRPr="00917393">
        <w:rPr>
          <w:rFonts w:ascii="Arial" w:hAnsi="Arial" w:cs="Arial"/>
        </w:rPr>
        <w:t>, y corr</w:t>
      </w:r>
      <w:r w:rsidR="00D50D90">
        <w:rPr>
          <w:rFonts w:ascii="Arial" w:hAnsi="Arial" w:cs="Arial"/>
        </w:rPr>
        <w:t>esponde al I</w:t>
      </w:r>
      <w:r w:rsidR="00AA7461" w:rsidRPr="00917393">
        <w:rPr>
          <w:rFonts w:ascii="Arial" w:hAnsi="Arial" w:cs="Arial"/>
        </w:rPr>
        <w:t xml:space="preserve">nstituto la ejecución y </w:t>
      </w:r>
      <w:r w:rsidR="00B51EC4" w:rsidRPr="00917393">
        <w:rPr>
          <w:rFonts w:ascii="Arial" w:hAnsi="Arial" w:cs="Arial"/>
        </w:rPr>
        <w:t>supervisión de</w:t>
      </w:r>
      <w:r w:rsidR="00677479">
        <w:rPr>
          <w:rFonts w:ascii="Arial" w:hAnsi="Arial" w:cs="Arial"/>
        </w:rPr>
        <w:t xml:space="preserve"> las acciones de ampliación</w:t>
      </w:r>
      <w:r w:rsidR="00D50D90">
        <w:rPr>
          <w:rFonts w:ascii="Arial" w:hAnsi="Arial" w:cs="Arial"/>
        </w:rPr>
        <w:t xml:space="preserve"> de vivienda.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de Mejoramiento de </w:t>
      </w:r>
      <w:r w:rsidR="00B502D0">
        <w:rPr>
          <w:rFonts w:ascii="Arial" w:hAnsi="Arial" w:cs="Arial"/>
        </w:rPr>
        <w:t>V</w:t>
      </w:r>
      <w:r w:rsidR="00B502D0" w:rsidRPr="00917393">
        <w:rPr>
          <w:rFonts w:ascii="Arial" w:hAnsi="Arial" w:cs="Arial"/>
        </w:rPr>
        <w:t>iviendas</w:t>
      </w:r>
      <w:r w:rsidR="00AA7461" w:rsidRPr="00917393">
        <w:rPr>
          <w:rFonts w:ascii="Arial" w:hAnsi="Arial" w:cs="Arial"/>
        </w:rPr>
        <w:t xml:space="preserve"> tiene por objeto me</w:t>
      </w:r>
      <w:r w:rsidR="00401CAE">
        <w:rPr>
          <w:rFonts w:ascii="Arial" w:hAnsi="Arial" w:cs="Arial"/>
        </w:rPr>
        <w:t>jorar la construcción de cuarto</w:t>
      </w:r>
      <w:r w:rsidR="00AA7461" w:rsidRPr="00917393">
        <w:rPr>
          <w:rFonts w:ascii="Arial" w:hAnsi="Arial" w:cs="Arial"/>
        </w:rPr>
        <w:t xml:space="preserve"> dormitorio, cuarto cocina y cuarto baño en beneficio de la población del </w:t>
      </w:r>
      <w:r w:rsidR="00B502D0">
        <w:rPr>
          <w:rFonts w:ascii="Arial" w:hAnsi="Arial" w:cs="Arial"/>
        </w:rPr>
        <w:t>M</w:t>
      </w:r>
      <w:r w:rsidR="00AA7461" w:rsidRPr="00917393">
        <w:rPr>
          <w:rFonts w:ascii="Arial" w:hAnsi="Arial" w:cs="Arial"/>
        </w:rPr>
        <w:t xml:space="preserve">unicipio.   </w:t>
      </w: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502D0" w:rsidRDefault="00B502D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Las fuentes de financiamiento de los recursos presupuestados </w:t>
      </w:r>
      <w:r w:rsidR="00CC1EDC">
        <w:rPr>
          <w:rFonts w:ascii="Arial" w:hAnsi="Arial" w:cs="Arial"/>
        </w:rPr>
        <w:t xml:space="preserve">según último presupuesto modificado </w:t>
      </w:r>
      <w:r w:rsidRPr="00917393">
        <w:rPr>
          <w:rFonts w:ascii="Arial" w:hAnsi="Arial" w:cs="Arial"/>
        </w:rPr>
        <w:t>son:</w:t>
      </w:r>
    </w:p>
    <w:p w:rsidR="00BC2675" w:rsidRDefault="00BC2675" w:rsidP="00BC2675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E2FFC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Ingresos </w:t>
      </w:r>
      <w:r w:rsidR="00B502D0">
        <w:rPr>
          <w:rFonts w:ascii="Arial" w:hAnsi="Arial" w:cs="Arial"/>
        </w:rPr>
        <w:t>presupuestados</w:t>
      </w:r>
      <w:r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 xml:space="preserve">de </w:t>
      </w:r>
      <w:r w:rsidR="00E42584">
        <w:rPr>
          <w:rFonts w:ascii="Arial" w:hAnsi="Arial" w:cs="Arial"/>
        </w:rPr>
        <w:t>gesti</w:t>
      </w:r>
      <w:r w:rsidR="00CC1EDC">
        <w:rPr>
          <w:rFonts w:ascii="Arial" w:hAnsi="Arial" w:cs="Arial"/>
        </w:rPr>
        <w:t>ón prop</w:t>
      </w:r>
      <w:r w:rsidR="000C0339">
        <w:rPr>
          <w:rFonts w:ascii="Arial" w:hAnsi="Arial" w:cs="Arial"/>
        </w:rPr>
        <w:t xml:space="preserve">ia del Instituto $ </w:t>
      </w:r>
      <w:r w:rsidR="005D7FF8">
        <w:rPr>
          <w:rFonts w:ascii="Arial" w:hAnsi="Arial" w:cs="Arial"/>
        </w:rPr>
        <w:t>8</w:t>
      </w:r>
      <w:r w:rsidR="000C0339">
        <w:rPr>
          <w:rFonts w:ascii="Arial" w:hAnsi="Arial" w:cs="Arial"/>
        </w:rPr>
        <w:t>’</w:t>
      </w:r>
      <w:r w:rsidR="005D7FF8">
        <w:rPr>
          <w:rFonts w:ascii="Arial" w:hAnsi="Arial" w:cs="Arial"/>
        </w:rPr>
        <w:t>910</w:t>
      </w:r>
      <w:r w:rsidR="000C0339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092</w:t>
      </w:r>
      <w:r w:rsidR="004F6C70">
        <w:rPr>
          <w:rFonts w:ascii="Arial" w:hAnsi="Arial" w:cs="Arial"/>
        </w:rPr>
        <w:t>.</w:t>
      </w:r>
      <w:r w:rsidR="005D7FF8">
        <w:rPr>
          <w:rFonts w:ascii="Arial" w:hAnsi="Arial" w:cs="Arial"/>
        </w:rPr>
        <w:t>02</w:t>
      </w:r>
      <w:r w:rsidR="00BC2675">
        <w:rPr>
          <w:rFonts w:ascii="Arial" w:hAnsi="Arial" w:cs="Arial"/>
        </w:rPr>
        <w:t xml:space="preserve"> con una reca</w:t>
      </w:r>
      <w:r w:rsidR="004F6C70">
        <w:rPr>
          <w:rFonts w:ascii="Arial" w:hAnsi="Arial" w:cs="Arial"/>
        </w:rPr>
        <w:t xml:space="preserve">udación al </w:t>
      </w:r>
      <w:r w:rsidR="005D7FF8">
        <w:rPr>
          <w:rFonts w:ascii="Arial" w:hAnsi="Arial" w:cs="Arial"/>
        </w:rPr>
        <w:t>tercer</w:t>
      </w:r>
      <w:r w:rsidR="00BC2675">
        <w:rPr>
          <w:rFonts w:ascii="Arial" w:hAnsi="Arial" w:cs="Arial"/>
        </w:rPr>
        <w:t xml:space="preserve"> trimestre 2020</w:t>
      </w:r>
      <w:r w:rsidR="004F6C70">
        <w:rPr>
          <w:rFonts w:ascii="Arial" w:hAnsi="Arial" w:cs="Arial"/>
        </w:rPr>
        <w:t xml:space="preserve"> de $ </w:t>
      </w:r>
      <w:r w:rsidR="005D7FF8">
        <w:rPr>
          <w:rFonts w:ascii="Arial" w:hAnsi="Arial" w:cs="Arial"/>
        </w:rPr>
        <w:t>6</w:t>
      </w:r>
      <w:r w:rsidR="004F6C70">
        <w:rPr>
          <w:rFonts w:ascii="Arial" w:hAnsi="Arial" w:cs="Arial"/>
        </w:rPr>
        <w:t>’</w:t>
      </w:r>
      <w:r w:rsidR="005D7FF8">
        <w:rPr>
          <w:rFonts w:ascii="Arial" w:hAnsi="Arial" w:cs="Arial"/>
        </w:rPr>
        <w:t>699</w:t>
      </w:r>
      <w:r w:rsidR="004F6C70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395</w:t>
      </w:r>
      <w:r w:rsidR="004F6C70">
        <w:rPr>
          <w:rFonts w:ascii="Arial" w:hAnsi="Arial" w:cs="Arial"/>
        </w:rPr>
        <w:t>.</w:t>
      </w:r>
      <w:r w:rsidR="005D7FF8">
        <w:rPr>
          <w:rFonts w:ascii="Arial" w:hAnsi="Arial" w:cs="Arial"/>
        </w:rPr>
        <w:t>28</w:t>
      </w:r>
    </w:p>
    <w:p w:rsidR="00BC2675" w:rsidRDefault="00BC2675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E42584" w:rsidRPr="00BC2675" w:rsidRDefault="00AA7461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BC2675">
        <w:rPr>
          <w:rFonts w:ascii="Arial" w:hAnsi="Arial" w:cs="Arial"/>
        </w:rPr>
        <w:t>A través de t</w:t>
      </w:r>
      <w:r w:rsidR="00E42584" w:rsidRPr="00BC2675">
        <w:rPr>
          <w:rFonts w:ascii="Arial" w:hAnsi="Arial" w:cs="Arial"/>
        </w:rPr>
        <w:t>ransferencias municipales $</w:t>
      </w:r>
      <w:r w:rsidR="00690768" w:rsidRPr="00BC2675">
        <w:rPr>
          <w:rFonts w:ascii="Arial" w:hAnsi="Arial" w:cs="Arial"/>
        </w:rPr>
        <w:t xml:space="preserve"> </w:t>
      </w:r>
      <w:r w:rsidR="00E42584" w:rsidRPr="00BC2675">
        <w:rPr>
          <w:rFonts w:ascii="Arial" w:hAnsi="Arial" w:cs="Arial"/>
        </w:rPr>
        <w:t>3’</w:t>
      </w:r>
      <w:r w:rsidR="005D7FF8">
        <w:rPr>
          <w:rFonts w:ascii="Arial" w:hAnsi="Arial" w:cs="Arial"/>
        </w:rPr>
        <w:t>290</w:t>
      </w:r>
      <w:r w:rsidR="00E42584" w:rsidRPr="00BC2675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921</w:t>
      </w:r>
      <w:r w:rsidR="00E42584" w:rsidRPr="00BC2675">
        <w:rPr>
          <w:rFonts w:ascii="Arial" w:hAnsi="Arial" w:cs="Arial"/>
        </w:rPr>
        <w:t>.</w:t>
      </w:r>
      <w:r w:rsidR="00BC2675" w:rsidRPr="00BC2675">
        <w:rPr>
          <w:rFonts w:ascii="Arial" w:hAnsi="Arial" w:cs="Arial"/>
        </w:rPr>
        <w:t>00 con una recaudación</w:t>
      </w:r>
      <w:r w:rsidR="004F6C70">
        <w:rPr>
          <w:rFonts w:ascii="Arial" w:hAnsi="Arial" w:cs="Arial"/>
        </w:rPr>
        <w:t xml:space="preserve"> al </w:t>
      </w:r>
      <w:r w:rsidR="005D7FF8">
        <w:rPr>
          <w:rFonts w:ascii="Arial" w:hAnsi="Arial" w:cs="Arial"/>
        </w:rPr>
        <w:t>tercer</w:t>
      </w:r>
      <w:r w:rsidR="00BC2675" w:rsidRPr="00BC2675">
        <w:rPr>
          <w:rFonts w:ascii="Arial" w:hAnsi="Arial" w:cs="Arial"/>
        </w:rPr>
        <w:t xml:space="preserve"> trimestre 2020 de $</w:t>
      </w:r>
      <w:r w:rsidR="004F6C70">
        <w:rPr>
          <w:rFonts w:ascii="Arial" w:hAnsi="Arial" w:cs="Arial"/>
        </w:rPr>
        <w:t xml:space="preserve"> </w:t>
      </w:r>
      <w:r w:rsidR="005D7FF8">
        <w:rPr>
          <w:rFonts w:ascii="Arial" w:hAnsi="Arial" w:cs="Arial"/>
        </w:rPr>
        <w:t>2</w:t>
      </w:r>
      <w:r w:rsidR="004F6C70">
        <w:rPr>
          <w:rFonts w:ascii="Arial" w:hAnsi="Arial" w:cs="Arial"/>
        </w:rPr>
        <w:t>’5</w:t>
      </w:r>
      <w:r w:rsidR="005D7FF8">
        <w:rPr>
          <w:rFonts w:ascii="Arial" w:hAnsi="Arial" w:cs="Arial"/>
        </w:rPr>
        <w:t>79</w:t>
      </w:r>
      <w:r w:rsidR="004F6C70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776</w:t>
      </w:r>
      <w:r w:rsidR="00BC2675" w:rsidRPr="00BC2675">
        <w:rPr>
          <w:rFonts w:ascii="Arial" w:hAnsi="Arial" w:cs="Arial"/>
        </w:rPr>
        <w:t>.00</w:t>
      </w:r>
    </w:p>
    <w:p w:rsidR="00BC2675" w:rsidRDefault="00BC2675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D50D90" w:rsidRPr="00BC2675" w:rsidRDefault="00D50D90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BC2675">
        <w:rPr>
          <w:rFonts w:ascii="Arial" w:hAnsi="Arial" w:cs="Arial"/>
        </w:rPr>
        <w:t xml:space="preserve">Más los </w:t>
      </w:r>
      <w:r w:rsidR="00690768" w:rsidRPr="00BC2675">
        <w:rPr>
          <w:rFonts w:ascii="Arial" w:hAnsi="Arial" w:cs="Arial"/>
        </w:rPr>
        <w:t>Ingresos der</w:t>
      </w:r>
      <w:r w:rsidR="00AE2FFC" w:rsidRPr="00BC2675">
        <w:rPr>
          <w:rFonts w:ascii="Arial" w:hAnsi="Arial" w:cs="Arial"/>
        </w:rPr>
        <w:t>ivados de financiamiento $ 2’</w:t>
      </w:r>
      <w:r w:rsidR="00BC2675" w:rsidRPr="00BC2675">
        <w:rPr>
          <w:rFonts w:ascii="Arial" w:hAnsi="Arial" w:cs="Arial"/>
        </w:rPr>
        <w:t>672</w:t>
      </w:r>
      <w:r w:rsidR="00AE2FFC" w:rsidRPr="00BC2675">
        <w:rPr>
          <w:rFonts w:ascii="Arial" w:hAnsi="Arial" w:cs="Arial"/>
        </w:rPr>
        <w:t>,7</w:t>
      </w:r>
      <w:r w:rsidR="00BC2675" w:rsidRPr="00BC2675">
        <w:rPr>
          <w:rFonts w:ascii="Arial" w:hAnsi="Arial" w:cs="Arial"/>
        </w:rPr>
        <w:t>90</w:t>
      </w:r>
      <w:r w:rsidR="00AE2FFC" w:rsidRPr="00BC2675">
        <w:rPr>
          <w:rFonts w:ascii="Arial" w:hAnsi="Arial" w:cs="Arial"/>
        </w:rPr>
        <w:t>.</w:t>
      </w:r>
      <w:r w:rsidR="00BC2675" w:rsidRPr="00BC2675">
        <w:rPr>
          <w:rFonts w:ascii="Arial" w:hAnsi="Arial" w:cs="Arial"/>
        </w:rPr>
        <w:t>3</w:t>
      </w:r>
      <w:r w:rsidR="00AE2FFC" w:rsidRPr="00BC2675">
        <w:rPr>
          <w:rFonts w:ascii="Arial" w:hAnsi="Arial" w:cs="Arial"/>
        </w:rPr>
        <w:t>8</w:t>
      </w:r>
      <w:r w:rsidRPr="00BC2675">
        <w:rPr>
          <w:rFonts w:ascii="Arial" w:hAnsi="Arial" w:cs="Arial"/>
        </w:rPr>
        <w:t xml:space="preserve"> </w:t>
      </w:r>
      <w:r w:rsidR="00BC2675" w:rsidRPr="00BC2675">
        <w:rPr>
          <w:rFonts w:ascii="Arial" w:hAnsi="Arial" w:cs="Arial"/>
        </w:rPr>
        <w:t xml:space="preserve">con una recaudación al </w:t>
      </w:r>
      <w:r w:rsidR="005D7FF8">
        <w:rPr>
          <w:rFonts w:ascii="Arial" w:hAnsi="Arial" w:cs="Arial"/>
        </w:rPr>
        <w:t>tercer</w:t>
      </w:r>
      <w:r w:rsidR="00BC2675" w:rsidRPr="00BC2675">
        <w:rPr>
          <w:rFonts w:ascii="Arial" w:hAnsi="Arial" w:cs="Arial"/>
        </w:rPr>
        <w:t xml:space="preserve"> trimestre 2020 de $ 554,653.22</w:t>
      </w:r>
    </w:p>
    <w:p w:rsidR="00AA7461" w:rsidRPr="00917393" w:rsidRDefault="00AA746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3" w:name="_Toc508279623"/>
      <w:r w:rsidRPr="00917393">
        <w:rPr>
          <w:rFonts w:ascii="Arial" w:hAnsi="Arial" w:cs="Arial"/>
          <w:b/>
          <w:color w:val="auto"/>
          <w:sz w:val="22"/>
          <w:szCs w:val="22"/>
        </w:rPr>
        <w:t>3. Autoriza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ción e Historia:</w:t>
      </w:r>
      <w:bookmarkEnd w:id="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08579F" w:rsidP="0008579F">
      <w:pPr>
        <w:tabs>
          <w:tab w:val="left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7D1B8B" w:rsidRPr="00917393">
        <w:rPr>
          <w:rFonts w:ascii="Arial" w:hAnsi="Arial" w:cs="Arial"/>
        </w:rPr>
        <w:t>Fecha de creación del ente.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1 de junio de 2005 mediante decreto de la cuadragésima sesión ordinaria del H. Ayuntamiento de Celaya, se crea el Instituto Municipal de Vivienda del Municipio de Celaya, Guanajuato.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16 de junio de 2005 se publica en el periódico oficial de estado de Guanajuato a decreto de la cuadragésima sesión ordinaria del H. Ayuntamiento de Celaya.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</w:t>
      </w:r>
      <w:r w:rsidR="00BC2675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se registra el alta ente la Secretaria de Hacienda y Crédito Público el 28 de julio de 2006 como Persona Moral No Contribuyente.</w:t>
      </w:r>
    </w:p>
    <w:p w:rsidR="00917393" w:rsidRPr="00917393" w:rsidRDefault="0091739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527383" w:rsidRDefault="0008579F" w:rsidP="00BC2675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</w:t>
      </w:r>
      <w:r w:rsidR="007D1E76" w:rsidRPr="00917393">
        <w:rPr>
          <w:rFonts w:ascii="Arial" w:hAnsi="Arial" w:cs="Arial"/>
        </w:rPr>
        <w:t>Principales cambios en su estructura (interna históricamente).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 el ejercicio 2012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lastRenderedPageBreak/>
        <w:t>Co</w:t>
      </w:r>
      <w:r w:rsidR="00FA6609">
        <w:rPr>
          <w:rFonts w:ascii="Arial" w:hAnsi="Arial" w:cs="Arial"/>
        </w:rPr>
        <w:t>o</w:t>
      </w:r>
      <w:r w:rsidRPr="00917393">
        <w:rPr>
          <w:rFonts w:ascii="Arial" w:hAnsi="Arial" w:cs="Arial"/>
        </w:rPr>
        <w:t>rdinador administrativo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contabilidad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área técnica</w:t>
      </w:r>
    </w:p>
    <w:p w:rsidR="00677479" w:rsidRDefault="007D1B8B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créditos</w:t>
      </w:r>
    </w:p>
    <w:p w:rsidR="000C0339" w:rsidRDefault="000C0339" w:rsidP="00BC2675">
      <w:pPr>
        <w:pStyle w:val="Prrafodelista"/>
        <w:tabs>
          <w:tab w:val="left" w:leader="underscore" w:pos="9639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Para el ejercicio 2013 el </w:t>
      </w:r>
      <w:r w:rsidR="00BC2675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690768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2014 el I</w:t>
      </w:r>
      <w:r w:rsidR="007D1B8B" w:rsidRPr="00917393">
        <w:rPr>
          <w:rFonts w:ascii="Arial" w:hAnsi="Arial" w:cs="Arial"/>
        </w:rPr>
        <w:t>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1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2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Ayudante </w:t>
      </w:r>
    </w:p>
    <w:p w:rsidR="00917393" w:rsidRDefault="00917393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partir del ejercicio 2015 el Instituto cuenta con las siguientes áreas generales: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690768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 A</w:t>
      </w:r>
      <w:r w:rsidR="007D1B8B" w:rsidRPr="00917393">
        <w:rPr>
          <w:rFonts w:ascii="Arial" w:hAnsi="Arial" w:cs="Arial"/>
        </w:rPr>
        <w:t>dministrativa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Social 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Coordinación Técnica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Jurídica </w:t>
      </w:r>
    </w:p>
    <w:p w:rsidR="000C0339" w:rsidRDefault="000C0339" w:rsidP="00CD7571">
      <w:pPr>
        <w:pStyle w:val="Prrafodelista"/>
        <w:tabs>
          <w:tab w:val="left" w:leader="underscore" w:pos="9639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0C0339" w:rsidRPr="00917393" w:rsidRDefault="000C0339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4" w:name="_Toc508279624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4.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Organización y Objeto Social:</w:t>
      </w:r>
      <w:bookmarkEnd w:id="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Objeto social.</w:t>
      </w:r>
    </w:p>
    <w:p w:rsidR="00BF37A3" w:rsidRPr="00917393" w:rsidRDefault="00BF37A3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Desarrollar, promover, impulsar y ejecutar las políticas y acciones en materia de vivienda dentro del Municipio</w:t>
      </w:r>
      <w:r w:rsidR="00DC7448">
        <w:rPr>
          <w:rFonts w:ascii="Arial" w:hAnsi="Arial" w:cs="Arial"/>
        </w:rPr>
        <w:t>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Principal actividad.</w:t>
      </w:r>
    </w:p>
    <w:p w:rsidR="00BF37A3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BF37A3" w:rsidRPr="00917393">
        <w:rPr>
          <w:rFonts w:ascii="Arial" w:hAnsi="Arial" w:cs="Arial"/>
        </w:rPr>
        <w:t>nstituto Municipal de Vivienda del Mu</w:t>
      </w:r>
      <w:r w:rsidR="00917393">
        <w:rPr>
          <w:rFonts w:ascii="Arial" w:hAnsi="Arial" w:cs="Arial"/>
        </w:rPr>
        <w:t xml:space="preserve">nicipio de Celaya, Guanajuato, </w:t>
      </w:r>
      <w:r w:rsidR="00BF37A3" w:rsidRPr="00917393">
        <w:rPr>
          <w:rFonts w:ascii="Arial" w:hAnsi="Arial" w:cs="Arial"/>
        </w:rPr>
        <w:t>tiene entre otras las siguientes funciones.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Difundir e informar a la población sobre los programas y acciones en materia de vivienda, que ejecuta el instituto. 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instancias municipales, estatales y federales que incidan en la materia.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</w:t>
      </w:r>
      <w:r w:rsidR="00917393">
        <w:rPr>
          <w:rFonts w:ascii="Arial" w:hAnsi="Arial" w:cs="Arial"/>
        </w:rPr>
        <w:t>Ejercicio fiscal:</w:t>
      </w:r>
    </w:p>
    <w:p w:rsidR="007D1E76" w:rsidRDefault="0091739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ejercicio fiscal comprende el periodo de</w:t>
      </w:r>
      <w:r w:rsidR="00EC4EF2" w:rsidRPr="00917393">
        <w:rPr>
          <w:rFonts w:ascii="Arial" w:hAnsi="Arial" w:cs="Arial"/>
        </w:rPr>
        <w:t xml:space="preserve">l 01 de </w:t>
      </w:r>
      <w:r w:rsidR="00DC7448">
        <w:rPr>
          <w:rFonts w:ascii="Arial" w:hAnsi="Arial" w:cs="Arial"/>
        </w:rPr>
        <w:t>enero al 31 de diciembre de 20</w:t>
      </w:r>
      <w:r w:rsidR="00DF6446">
        <w:rPr>
          <w:rFonts w:ascii="Arial" w:hAnsi="Arial" w:cs="Arial"/>
        </w:rPr>
        <w:t>20.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Régimen jurídico (Forma como está dada de alta la entidad ante la S.H.C.P., ejemplos: S.C., S.A., Personas morales sin fines de lucro, etc.).</w:t>
      </w: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</w:t>
      </w:r>
      <w:r w:rsidR="00DF6446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está registrado ante la S.H.C.P. como Persona Moral No Contribuyente; Sin Tipo de Sociedad</w:t>
      </w:r>
      <w:r w:rsidR="00917393">
        <w:rPr>
          <w:rFonts w:ascii="Arial" w:hAnsi="Arial" w:cs="Arial"/>
        </w:rPr>
        <w:t>.</w:t>
      </w:r>
    </w:p>
    <w:p w:rsidR="000C0339" w:rsidRPr="00DF6446" w:rsidRDefault="00EC4EF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encuentra registrado ante la Secretar</w:t>
      </w:r>
      <w:r w:rsidR="00DF6446">
        <w:rPr>
          <w:rFonts w:ascii="Arial" w:hAnsi="Arial" w:cs="Arial"/>
        </w:rPr>
        <w:t>í</w:t>
      </w:r>
      <w:r w:rsidRPr="00917393">
        <w:rPr>
          <w:rFonts w:ascii="Arial" w:hAnsi="Arial" w:cs="Arial"/>
        </w:rPr>
        <w:t xml:space="preserve">a de </w:t>
      </w:r>
      <w:r w:rsidR="00DF6446">
        <w:rPr>
          <w:rFonts w:ascii="Arial" w:hAnsi="Arial" w:cs="Arial"/>
        </w:rPr>
        <w:t>F</w:t>
      </w:r>
      <w:r w:rsidRPr="00917393">
        <w:rPr>
          <w:rFonts w:ascii="Arial" w:hAnsi="Arial" w:cs="Arial"/>
        </w:rPr>
        <w:t>inanzas Inversiones y Administración del Estado de Guanajuato</w:t>
      </w:r>
      <w:r w:rsidR="00917393">
        <w:rPr>
          <w:rFonts w:ascii="Arial" w:hAnsi="Arial" w:cs="Arial"/>
        </w:rPr>
        <w:t>.</w:t>
      </w:r>
    </w:p>
    <w:p w:rsidR="000C0339" w:rsidRDefault="000C0339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77479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Consideraciones fiscales del ente: </w:t>
      </w:r>
      <w:r w:rsidR="00657009" w:rsidRPr="00917393">
        <w:rPr>
          <w:rFonts w:ascii="Arial" w:hAnsi="Arial" w:cs="Arial"/>
        </w:rPr>
        <w:t>R</w:t>
      </w:r>
      <w:r w:rsidRPr="00917393">
        <w:rPr>
          <w:rFonts w:ascii="Arial" w:hAnsi="Arial" w:cs="Arial"/>
        </w:rPr>
        <w:t>evelar el tipo de contribuciones que esté obligado a pagar o retener.</w:t>
      </w:r>
    </w:p>
    <w:p w:rsidR="00EC4EF2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 xml:space="preserve">Retenedor de ISR por sueldos y salarios </w:t>
      </w:r>
    </w:p>
    <w:p w:rsidR="00DF6446" w:rsidRPr="00527383" w:rsidRDefault="00DF6446" w:rsidP="00DF6446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salarios (asimilados)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el arrendamiento de bi</w:t>
      </w:r>
      <w:r w:rsidR="0008579F">
        <w:rPr>
          <w:rFonts w:ascii="Arial" w:hAnsi="Arial" w:cs="Arial"/>
        </w:rPr>
        <w:t>e</w:t>
      </w:r>
      <w:r w:rsidRPr="00527383">
        <w:rPr>
          <w:rFonts w:ascii="Arial" w:hAnsi="Arial" w:cs="Arial"/>
        </w:rPr>
        <w:t>nes inmuebles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servicios profesionales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Obligado al pago del Impuesto Estatal Sobre nómina</w:t>
      </w:r>
    </w:p>
    <w:p w:rsidR="00EC4EF2" w:rsidRPr="00527383" w:rsidRDefault="00EC4EF2" w:rsidP="00FA6609">
      <w:pPr>
        <w:pStyle w:val="Prrafodelista"/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Impuesto Cedular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Estructura organizacional básica.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:rsidR="00EC4EF2" w:rsidRPr="00917393" w:rsidRDefault="000B5039" w:rsidP="00456D16">
      <w:pPr>
        <w:tabs>
          <w:tab w:val="left" w:leader="underscore" w:pos="9639"/>
        </w:tabs>
        <w:spacing w:after="0" w:line="360" w:lineRule="auto"/>
        <w:ind w:left="-851" w:firstLine="567"/>
        <w:jc w:val="both"/>
        <w:rPr>
          <w:rFonts w:ascii="Arial" w:hAnsi="Arial" w:cs="Arial"/>
        </w:rPr>
      </w:pPr>
      <w:r w:rsidRPr="00F044BA">
        <w:rPr>
          <w:noProof/>
          <w:lang w:eastAsia="es-MX"/>
        </w:rPr>
        <w:drawing>
          <wp:inline distT="0" distB="0" distL="0" distR="0">
            <wp:extent cx="6429375" cy="4514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1E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90768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Fideicomisos, mandatos y análogos de los cuales es fideicomitente o </w:t>
      </w:r>
      <w:r w:rsidR="00657009" w:rsidRPr="00917393">
        <w:rPr>
          <w:rFonts w:ascii="Arial" w:hAnsi="Arial" w:cs="Arial"/>
        </w:rPr>
        <w:t>fideicomisario</w:t>
      </w:r>
      <w:r w:rsidRPr="00917393">
        <w:rPr>
          <w:rFonts w:ascii="Arial" w:hAnsi="Arial" w:cs="Arial"/>
        </w:rPr>
        <w:t>.</w:t>
      </w:r>
    </w:p>
    <w:p w:rsidR="004D3B96" w:rsidRPr="00917393" w:rsidRDefault="004D3B9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2738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4D3B96" w:rsidRPr="00917393">
        <w:rPr>
          <w:rFonts w:ascii="Arial" w:hAnsi="Arial" w:cs="Arial"/>
        </w:rPr>
        <w:t>nstituto es fideicomisario y fideicomitente del fideicomiso de inversión y administración, que se identifica administrativamente con el número F/4089637, el cual e</w:t>
      </w:r>
      <w:r>
        <w:rPr>
          <w:rFonts w:ascii="Arial" w:hAnsi="Arial" w:cs="Arial"/>
        </w:rPr>
        <w:t>s un fideicomiso sin estructura y tiene por objeto la Urbanización Progresiva de Fraccionamiento denominado Calquetzani</w:t>
      </w:r>
      <w:r w:rsidR="005D7FF8">
        <w:rPr>
          <w:rFonts w:ascii="Arial" w:hAnsi="Arial" w:cs="Arial"/>
        </w:rPr>
        <w:t xml:space="preserve"> etapa I.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5" w:name="_Toc508279625"/>
      <w:r w:rsidRPr="00917393">
        <w:rPr>
          <w:rFonts w:ascii="Arial" w:hAnsi="Arial" w:cs="Arial"/>
          <w:b/>
          <w:color w:val="auto"/>
          <w:sz w:val="22"/>
          <w:szCs w:val="22"/>
        </w:rPr>
        <w:t>5. Bases de Preparació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n de los Estados Financieros:</w:t>
      </w:r>
      <w:bookmarkEnd w:id="5"/>
    </w:p>
    <w:p w:rsidR="007D1E76" w:rsidRPr="00917393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sobre: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ha observado la normatividad emitida por el CONAC tales como: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I</w:t>
      </w:r>
      <w:r w:rsidR="006D3D34" w:rsidRPr="00917393">
        <w:rPr>
          <w:rFonts w:ascii="Arial" w:hAnsi="Arial" w:cs="Arial"/>
          <w:b/>
        </w:rPr>
        <w:t>ngresos: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 Ingresos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fuente de financiamiento</w:t>
      </w:r>
      <w:r w:rsidR="00B71EB7">
        <w:rPr>
          <w:rFonts w:ascii="Arial" w:hAnsi="Arial" w:cs="Arial"/>
        </w:rPr>
        <w:t>.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</w:t>
      </w:r>
      <w:r w:rsidR="006D3D34" w:rsidRPr="00917393">
        <w:rPr>
          <w:rFonts w:ascii="Arial" w:hAnsi="Arial" w:cs="Arial"/>
          <w:b/>
        </w:rPr>
        <w:t>gresos:</w:t>
      </w:r>
    </w:p>
    <w:p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Objeto del Gasto</w:t>
      </w:r>
    </w:p>
    <w:p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por Tipo de Gasto</w:t>
      </w:r>
    </w:p>
    <w:p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Administrativa del Gasto</w:t>
      </w:r>
    </w:p>
    <w:p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Funcional del Gasto</w:t>
      </w:r>
      <w:r>
        <w:rPr>
          <w:rFonts w:ascii="Arial" w:hAnsi="Arial" w:cs="Arial"/>
        </w:rPr>
        <w:t xml:space="preserve"> (finalidad y función)</w:t>
      </w:r>
    </w:p>
    <w:p w:rsidR="0008579F" w:rsidRDefault="0008579F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normatividad aplicada para el reconocimiento, valuación y revelación </w:t>
      </w:r>
      <w:r w:rsidR="00690768">
        <w:rPr>
          <w:rFonts w:ascii="Arial" w:hAnsi="Arial" w:cs="Arial"/>
        </w:rPr>
        <w:t>de los diferentes rubros de la Información F</w:t>
      </w:r>
      <w:r w:rsidRPr="00917393">
        <w:rPr>
          <w:rFonts w:ascii="Arial" w:hAnsi="Arial" w:cs="Arial"/>
        </w:rPr>
        <w:t>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no circulantes de nueva adquisición: Costo Histórico.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con antigüedad mayor vida útil estimada y de las cuales no se tiene respaldo documental del valor original: Valor Razonable.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DC7448" w:rsidRDefault="00DC7448" w:rsidP="00DC7448">
      <w:pPr>
        <w:tabs>
          <w:tab w:val="left" w:pos="9639"/>
        </w:tabs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Postulados B</w:t>
      </w:r>
      <w:r w:rsidR="006D3D34" w:rsidRPr="00DC7448">
        <w:rPr>
          <w:rFonts w:ascii="Arial" w:hAnsi="Arial" w:cs="Arial"/>
          <w:b/>
        </w:rPr>
        <w:t>ásicos.</w:t>
      </w:r>
    </w:p>
    <w:p w:rsidR="00B71EB7" w:rsidRPr="00917393" w:rsidRDefault="00B71EB7" w:rsidP="00B71EB7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ind w:right="105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SUSTANCIA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ECONOMICA</w:t>
      </w:r>
    </w:p>
    <w:p w:rsidR="006D3D34" w:rsidRDefault="006D3D34" w:rsidP="00917393">
      <w:pPr>
        <w:pStyle w:val="TDC2"/>
        <w:tabs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  <w:spacing w:val="-5"/>
        </w:rPr>
      </w:pPr>
      <w:r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reconocimiento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transformaciones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internas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otros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eventos,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 afectan económicamente al ente público y delimitan la operación del Sistema de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Contabilidad Gubernamental</w:t>
      </w:r>
      <w:r w:rsidR="00576EB2">
        <w:rPr>
          <w:rFonts w:ascii="Arial" w:hAnsi="Arial" w:cs="Arial"/>
          <w:spacing w:val="-5"/>
        </w:rPr>
        <w:t>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 w:right="105"/>
        <w:jc w:val="both"/>
        <w:rPr>
          <w:rFonts w:ascii="Arial" w:hAnsi="Arial" w:cs="Arial"/>
          <w:b/>
          <w:bCs/>
        </w:rPr>
      </w:pPr>
      <w:hyperlink w:anchor="_TOC_250002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SCG estará estructurado de tal manera que permita la captación de la esencia económica  </w:t>
      </w:r>
      <w:r w:rsidRPr="00917393">
        <w:rPr>
          <w:rFonts w:ascii="Arial" w:hAnsi="Arial" w:cs="Arial"/>
          <w:spacing w:val="3"/>
        </w:rPr>
        <w:t xml:space="preserve"> </w:t>
      </w:r>
      <w:r w:rsidRPr="00917393">
        <w:rPr>
          <w:rFonts w:ascii="Arial" w:hAnsi="Arial" w:cs="Arial"/>
        </w:rPr>
        <w:t>en la delimitación y operación del ente público, apegándose a la normatividad emitida por el</w:t>
      </w:r>
      <w:r w:rsidRPr="00917393">
        <w:rPr>
          <w:rFonts w:ascii="Arial" w:hAnsi="Arial" w:cs="Arial"/>
          <w:spacing w:val="-32"/>
        </w:rPr>
        <w:t xml:space="preserve"> </w:t>
      </w:r>
      <w:r w:rsidRPr="00917393">
        <w:rPr>
          <w:rFonts w:ascii="Arial" w:hAnsi="Arial" w:cs="Arial"/>
        </w:rPr>
        <w:t>Consejo Nacional de Armonización Contable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(CONAC).</w:t>
      </w:r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9639"/>
        </w:tabs>
        <w:spacing w:after="0" w:line="360" w:lineRule="auto"/>
        <w:ind w:right="622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genera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que proporciona los elementos necesarios para una adecuada toma de</w:t>
      </w:r>
      <w:r w:rsidRPr="00917393">
        <w:rPr>
          <w:rFonts w:ascii="Arial" w:hAnsi="Arial" w:cs="Arial"/>
          <w:spacing w:val="-11"/>
        </w:rPr>
        <w:t xml:space="preserve"> </w:t>
      </w:r>
      <w:r w:rsidRPr="00917393">
        <w:rPr>
          <w:rFonts w:ascii="Arial" w:hAnsi="Arial" w:cs="Arial"/>
        </w:rPr>
        <w:t>decisiones.</w:t>
      </w:r>
    </w:p>
    <w:p w:rsidR="006D3D34" w:rsidRPr="00917393" w:rsidRDefault="006D3D34" w:rsidP="00917393">
      <w:pPr>
        <w:pStyle w:val="TDC1"/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ENTES</w:t>
      </w:r>
      <w:r w:rsidRPr="007A791A">
        <w:rPr>
          <w:rFonts w:ascii="Arial" w:hAnsi="Arial" w:cs="Arial"/>
          <w:b/>
          <w:spacing w:val="-1"/>
        </w:rPr>
        <w:t xml:space="preserve"> </w:t>
      </w:r>
      <w:r w:rsidRPr="007A791A">
        <w:rPr>
          <w:rFonts w:ascii="Arial" w:hAnsi="Arial" w:cs="Arial"/>
          <w:b/>
        </w:rPr>
        <w:t>PUBLICOS</w:t>
      </w:r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ind w:left="261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poderes Ejecutivo, Legislativo y Judicial de la Federación y de las entidades federativas; los entes autónomos de la Federación y de las entidades federativas; los ayuntamientos de los municipios;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los órganos político-administrativos de las demarcaciones territoriales del Distrito Federal; y las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entidades de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administración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pública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paraestatal,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ya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sean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federales,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estatales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municipales.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1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es establecido por </w:t>
      </w:r>
      <w:r w:rsidRPr="00917393">
        <w:rPr>
          <w:rFonts w:ascii="Arial" w:hAnsi="Arial" w:cs="Arial"/>
          <w:spacing w:val="2"/>
        </w:rPr>
        <w:t xml:space="preserve">un </w:t>
      </w:r>
      <w:r w:rsidRPr="00917393">
        <w:rPr>
          <w:rFonts w:ascii="Arial" w:hAnsi="Arial" w:cs="Arial"/>
        </w:rPr>
        <w:t>marco normativo específico, el cual determina sus objetivos, su ámbito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acción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limitaciones;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atribuciones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asumir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derechos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contraer</w:t>
      </w:r>
      <w:r w:rsidRPr="00917393">
        <w:rPr>
          <w:rFonts w:ascii="Arial" w:hAnsi="Arial" w:cs="Arial"/>
          <w:spacing w:val="-6"/>
        </w:rPr>
        <w:t xml:space="preserve"> </w:t>
      </w:r>
      <w:r w:rsidRPr="00917393">
        <w:rPr>
          <w:rFonts w:ascii="Arial" w:hAnsi="Arial" w:cs="Arial"/>
        </w:rPr>
        <w:t>obligaciones.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EXISTENCIA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PERMANENTE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actividad del ente público se establece por tiempo indefinido, salvo disposición legal en la que </w:t>
      </w:r>
      <w:r w:rsidR="00251AE5" w:rsidRPr="00917393">
        <w:rPr>
          <w:rFonts w:ascii="Arial" w:hAnsi="Arial" w:cs="Arial"/>
        </w:rPr>
        <w:t>se especifique</w:t>
      </w:r>
      <w:r w:rsidRPr="00917393">
        <w:rPr>
          <w:rFonts w:ascii="Arial" w:hAnsi="Arial" w:cs="Arial"/>
        </w:rPr>
        <w:t xml:space="preserve"> lo</w:t>
      </w:r>
      <w:r w:rsidRPr="00917393">
        <w:rPr>
          <w:rFonts w:ascii="Arial" w:hAnsi="Arial" w:cs="Arial"/>
          <w:spacing w:val="-8"/>
        </w:rPr>
        <w:t xml:space="preserve"> </w:t>
      </w:r>
      <w:r w:rsidRPr="00917393">
        <w:rPr>
          <w:rFonts w:ascii="Arial" w:hAnsi="Arial" w:cs="Arial"/>
        </w:rPr>
        <w:t>contrario.</w:t>
      </w:r>
    </w:p>
    <w:p w:rsidR="00DC7448" w:rsidRDefault="00DC7448" w:rsidP="00917393">
      <w:pPr>
        <w:pStyle w:val="TDC1"/>
        <w:tabs>
          <w:tab w:val="left" w:pos="9639"/>
        </w:tabs>
        <w:spacing w:after="0" w:line="360" w:lineRule="auto"/>
        <w:ind w:left="263"/>
        <w:jc w:val="both"/>
      </w:pPr>
    </w:p>
    <w:p w:rsidR="0008579F" w:rsidRPr="00DC7448" w:rsidRDefault="00C81695" w:rsidP="00DC7448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0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sistema contable del ente público se establece considerando que el periodo de vida </w:t>
      </w:r>
      <w:r w:rsidR="001106E8" w:rsidRPr="00917393">
        <w:rPr>
          <w:rFonts w:ascii="Arial" w:hAnsi="Arial" w:cs="Arial"/>
        </w:rPr>
        <w:t>de este</w:t>
      </w:r>
      <w:r w:rsidRPr="00917393">
        <w:rPr>
          <w:rFonts w:ascii="Arial" w:hAnsi="Arial" w:cs="Arial"/>
        </w:rPr>
        <w:t xml:space="preserve"> es definido.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REVELACION SUFICIENTE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y la información financiera deben mostrar amplia y claramente la situación financiera y   los resultados del ente</w:t>
      </w:r>
      <w:r w:rsidRPr="00917393">
        <w:rPr>
          <w:rFonts w:ascii="Arial" w:hAnsi="Arial" w:cs="Arial"/>
          <w:spacing w:val="-14"/>
        </w:rPr>
        <w:t xml:space="preserve"> </w:t>
      </w:r>
      <w:r w:rsidRPr="00917393">
        <w:rPr>
          <w:rFonts w:ascii="Arial" w:hAnsi="Arial" w:cs="Arial"/>
        </w:rPr>
        <w:t>público.</w:t>
      </w:r>
    </w:p>
    <w:p w:rsidR="006D3D34" w:rsidRPr="00917393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sz w:val="22"/>
          <w:szCs w:val="22"/>
        </w:rPr>
      </w:pPr>
      <w:bookmarkStart w:id="6" w:name="_TOC_250002"/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6"/>
    </w:p>
    <w:p w:rsidR="006D3D34" w:rsidRPr="00917393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Como información financiera se considera la contable y presupuestaria y se presentará en </w:t>
      </w:r>
      <w:r w:rsidRPr="00917393">
        <w:rPr>
          <w:rFonts w:ascii="Arial" w:hAnsi="Arial" w:cs="Arial"/>
          <w:spacing w:val="12"/>
        </w:rPr>
        <w:t>estados</w:t>
      </w:r>
      <w:r w:rsidRPr="00917393">
        <w:rPr>
          <w:rFonts w:ascii="Arial" w:hAnsi="Arial" w:cs="Arial"/>
        </w:rPr>
        <w:t xml:space="preserve"> financieros, reportes e informes acompañándose, en su caso, de las notas explicativas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 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necesaria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representativa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fecha establecida.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left="261" w:firstLine="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presupuestarios</w:t>
      </w:r>
      <w:r w:rsidRPr="00917393">
        <w:rPr>
          <w:rFonts w:ascii="Arial" w:hAnsi="Arial" w:cs="Arial"/>
          <w:spacing w:val="32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notas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forman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unidad</w:t>
      </w:r>
      <w:r w:rsidRPr="00917393">
        <w:rPr>
          <w:rFonts w:ascii="Arial" w:hAnsi="Arial" w:cs="Arial"/>
          <w:spacing w:val="28"/>
        </w:rPr>
        <w:t xml:space="preserve"> </w:t>
      </w:r>
      <w:r w:rsidR="005D7FF8" w:rsidRPr="00917393">
        <w:rPr>
          <w:rFonts w:ascii="Arial" w:hAnsi="Arial" w:cs="Arial"/>
        </w:rPr>
        <w:t>inseparable,</w:t>
      </w:r>
      <w:r w:rsidR="005D7FF8" w:rsidRPr="00917393">
        <w:rPr>
          <w:rFonts w:ascii="Arial" w:hAnsi="Arial" w:cs="Arial"/>
          <w:spacing w:val="28"/>
        </w:rPr>
        <w:t xml:space="preserve"> </w:t>
      </w:r>
      <w:r w:rsidR="005D7FF8">
        <w:rPr>
          <w:rFonts w:ascii="Arial" w:hAnsi="Arial" w:cs="Arial"/>
          <w:spacing w:val="28"/>
        </w:rPr>
        <w:t>por</w:t>
      </w:r>
      <w:r w:rsidRPr="00917393">
        <w:rPr>
          <w:rFonts w:ascii="Arial" w:hAnsi="Arial" w:cs="Arial"/>
        </w:rPr>
        <w:t xml:space="preserve"> tanto,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presentarse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conjuntamente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todos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casos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adecuada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evaluación cuantitativa cumpliendo con las características de objetividad, verificabilidad y</w:t>
      </w:r>
      <w:r w:rsidRPr="00917393">
        <w:rPr>
          <w:rFonts w:ascii="Arial" w:hAnsi="Arial" w:cs="Arial"/>
          <w:spacing w:val="-34"/>
        </w:rPr>
        <w:t xml:space="preserve"> </w:t>
      </w:r>
      <w:r w:rsidRPr="00917393">
        <w:rPr>
          <w:rFonts w:ascii="Arial" w:hAnsi="Arial" w:cs="Arial"/>
        </w:rPr>
        <w:t>representatividad.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261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IMPORTANCIA</w:t>
      </w:r>
      <w:r w:rsidRPr="007A791A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RELATIVA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debe mostrar los aspectos importantes de la entidad que fueron reconocidos</w:t>
      </w:r>
      <w:r w:rsidRPr="00917393">
        <w:rPr>
          <w:rFonts w:cs="Arial"/>
          <w:spacing w:val="19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contablemente.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_250001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7"/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financiera tiene importancia relativa si existe el riesgo de que su omisión o presentación errónea afecte la percepción de los usuarios en relación con la rendición de cuentas,</w:t>
      </w:r>
      <w:r w:rsidRPr="00917393">
        <w:rPr>
          <w:rFonts w:cs="Arial"/>
          <w:spacing w:val="1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 fiscalización y la toma de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decisiones.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REGISTRO E INTEGRACION</w:t>
      </w:r>
      <w:r w:rsidRPr="007A791A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PRESUPUESTARIA</w:t>
      </w:r>
    </w:p>
    <w:p w:rsidR="006D3D34" w:rsidRPr="00917393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información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integra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mismos</w:t>
      </w:r>
      <w:r w:rsidRPr="00917393">
        <w:rPr>
          <w:rFonts w:cs="Arial"/>
          <w:spacing w:val="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 xml:space="preserve">términos que se presentan en la ley de Ingresos y en el Decreto del Presupuesto Egresos, </w:t>
      </w:r>
      <w:r w:rsidR="001106E8" w:rsidRPr="00917393">
        <w:rPr>
          <w:rFonts w:cs="Arial"/>
          <w:sz w:val="22"/>
          <w:szCs w:val="22"/>
          <w:lang w:val="es-MX"/>
        </w:rPr>
        <w:t>de</w:t>
      </w:r>
      <w:r w:rsidR="001106E8">
        <w:rPr>
          <w:rFonts w:cs="Arial"/>
          <w:sz w:val="22"/>
          <w:szCs w:val="22"/>
          <w:lang w:val="es-MX"/>
        </w:rPr>
        <w:t xml:space="preserve"> </w:t>
      </w:r>
      <w:r w:rsidR="001106E8" w:rsidRPr="00D85EC9">
        <w:rPr>
          <w:rFonts w:cs="Arial"/>
          <w:sz w:val="22"/>
          <w:szCs w:val="22"/>
          <w:lang w:val="es-MX"/>
        </w:rPr>
        <w:t>acuerdo</w:t>
      </w:r>
      <w:r w:rsidR="001106E8" w:rsidRPr="00917393">
        <w:rPr>
          <w:rFonts w:cs="Arial"/>
          <w:sz w:val="22"/>
          <w:szCs w:val="22"/>
          <w:lang w:val="es-MX"/>
        </w:rPr>
        <w:t xml:space="preserve"> con</w:t>
      </w:r>
      <w:r w:rsidRPr="00917393">
        <w:rPr>
          <w:rFonts w:cs="Arial"/>
          <w:sz w:val="22"/>
          <w:szCs w:val="22"/>
          <w:lang w:val="es-MX"/>
        </w:rPr>
        <w:t xml:space="preserve"> la naturaleza económica que le</w:t>
      </w:r>
      <w:r w:rsidRPr="00917393">
        <w:rPr>
          <w:rFonts w:cs="Arial"/>
          <w:spacing w:val="-1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corresponda.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registro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reflejar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lastRenderedPageBreak/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contabilidad, considerando sus efectos patrimoniales y su vinculación con las etapas</w:t>
      </w:r>
      <w:r w:rsidRPr="00917393">
        <w:rPr>
          <w:rFonts w:cs="Arial"/>
          <w:spacing w:val="1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presupuestarias correspondientes.</w:t>
      </w:r>
    </w:p>
    <w:p w:rsidR="00576EB2" w:rsidRPr="00917393" w:rsidRDefault="00576EB2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498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TOC_250000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8"/>
    </w:p>
    <w:p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left="426" w:right="332" w:hanging="284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Sistema de Contabilidad Gubernamental (SCG) debe considerar cuentas de orden, para el registro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ingreso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egreso,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fin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proporcionar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presupuestaria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permita evaluar los resultados obtenidos respecto de los presupuestos</w:t>
      </w:r>
      <w:r w:rsidRPr="00917393">
        <w:rPr>
          <w:rFonts w:ascii="Arial" w:hAnsi="Arial" w:cs="Arial"/>
          <w:spacing w:val="-7"/>
        </w:rPr>
        <w:t xml:space="preserve"> </w:t>
      </w:r>
      <w:r w:rsidRPr="00917393">
        <w:rPr>
          <w:rFonts w:ascii="Arial" w:hAnsi="Arial" w:cs="Arial"/>
        </w:rPr>
        <w:t>autorizados;</w:t>
      </w:r>
    </w:p>
    <w:p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identificar la vinculación entre las cuentas de orden y las de balance o</w:t>
      </w:r>
      <w:r w:rsidRPr="00917393">
        <w:rPr>
          <w:rFonts w:ascii="Arial" w:hAnsi="Arial" w:cs="Arial"/>
          <w:spacing w:val="-16"/>
        </w:rPr>
        <w:t xml:space="preserve"> </w:t>
      </w:r>
      <w:r w:rsidRPr="00917393">
        <w:rPr>
          <w:rFonts w:ascii="Arial" w:hAnsi="Arial" w:cs="Arial"/>
        </w:rPr>
        <w:t>resultados;</w:t>
      </w:r>
    </w:p>
    <w:p w:rsidR="006D3D34" w:rsidRPr="00917393" w:rsidRDefault="00D85EC9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contabilización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presupuestos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debe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seguir</w:t>
      </w:r>
      <w:r w:rsidR="006D3D34" w:rsidRPr="00917393">
        <w:rPr>
          <w:rFonts w:ascii="Arial" w:hAnsi="Arial" w:cs="Arial"/>
          <w:spacing w:val="21"/>
        </w:rPr>
        <w:t xml:space="preserve"> </w:t>
      </w:r>
      <w:r w:rsidR="006D3D34" w:rsidRPr="00917393">
        <w:rPr>
          <w:rFonts w:ascii="Arial" w:hAnsi="Arial" w:cs="Arial"/>
        </w:rPr>
        <w:t>la</w:t>
      </w:r>
      <w:r w:rsidR="006D3D34" w:rsidRPr="00917393">
        <w:rPr>
          <w:rFonts w:ascii="Arial" w:hAnsi="Arial" w:cs="Arial"/>
          <w:spacing w:val="21"/>
        </w:rPr>
        <w:t xml:space="preserve"> </w:t>
      </w:r>
      <w:r w:rsidR="006D3D34" w:rsidRPr="00917393">
        <w:rPr>
          <w:rFonts w:ascii="Arial" w:hAnsi="Arial" w:cs="Arial"/>
        </w:rPr>
        <w:t>metodología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y</w:t>
      </w:r>
      <w:r w:rsidR="006D3D34" w:rsidRPr="00917393">
        <w:rPr>
          <w:rFonts w:ascii="Arial" w:hAnsi="Arial" w:cs="Arial"/>
          <w:spacing w:val="22"/>
        </w:rPr>
        <w:t xml:space="preserve"> </w:t>
      </w:r>
      <w:r w:rsidR="006D3D34" w:rsidRPr="00917393">
        <w:rPr>
          <w:rFonts w:ascii="Arial" w:hAnsi="Arial" w:cs="Arial"/>
        </w:rPr>
        <w:t>registros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equilibrados</w:t>
      </w:r>
      <w:r w:rsidR="006D3D34" w:rsidRPr="00917393">
        <w:rPr>
          <w:rFonts w:ascii="Arial" w:hAnsi="Arial" w:cs="Arial"/>
          <w:spacing w:val="22"/>
        </w:rPr>
        <w:t xml:space="preserve"> </w:t>
      </w:r>
      <w:r w:rsidR="006D3D34" w:rsidRPr="00917393">
        <w:rPr>
          <w:rFonts w:ascii="Arial" w:hAnsi="Arial" w:cs="Arial"/>
        </w:rPr>
        <w:t>o igualados,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representando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las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etapas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presupuestarias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de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las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transacciones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a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través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de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cuentas de orden del ingreso y del egreso; así como su efecto en la posición financiera y en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los resultados;</w:t>
      </w:r>
    </w:p>
    <w:p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permitir identificar de forma individual y agregada el registro de las operaciones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 las cuentas de orden, de balance y de resultados correspondientes; así como generar registros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a diferentes niveles de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agrupación;</w:t>
      </w:r>
    </w:p>
    <w:p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clasificación de los egresos presupuestarios será al menos la siguiente: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administrativa, conforme al Decreto del Presupuesto de Egresos, que es la que permite identificar quién</w:t>
      </w:r>
      <w:r w:rsidRPr="00917393">
        <w:rPr>
          <w:rFonts w:ascii="Arial" w:hAnsi="Arial" w:cs="Arial"/>
          <w:spacing w:val="33"/>
        </w:rPr>
        <w:t xml:space="preserve"> </w:t>
      </w:r>
      <w:r w:rsidRPr="00917393">
        <w:rPr>
          <w:rFonts w:ascii="Arial" w:hAnsi="Arial" w:cs="Arial"/>
        </w:rPr>
        <w:t>gasta; funcional y programática, que indica para qué se gasta; y económica y por objeto del gasto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que identifica en qué se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gasta.</w:t>
      </w:r>
    </w:p>
    <w:p w:rsidR="00B71EB7" w:rsidRDefault="00B71EB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integración presupuestaria se realizará sumando la información presupuestaria de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entes independientes para presentar un solo</w:t>
      </w:r>
      <w:r w:rsidRPr="00917393">
        <w:rPr>
          <w:rFonts w:ascii="Arial" w:hAnsi="Arial" w:cs="Arial"/>
          <w:spacing w:val="-9"/>
        </w:rPr>
        <w:t xml:space="preserve"> </w:t>
      </w:r>
      <w:r w:rsidRPr="00917393">
        <w:rPr>
          <w:rFonts w:ascii="Arial" w:hAnsi="Arial" w:cs="Arial"/>
        </w:rPr>
        <w:t>informe.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DEVENGO</w:t>
      </w:r>
      <w:r w:rsidRPr="007A791A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CONTABLE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 xml:space="preserve">Los registros contables de los entes públicos se llevarán con base acumulativa. El </w:t>
      </w:r>
      <w:r w:rsidR="005D7FF8" w:rsidRPr="00917393">
        <w:rPr>
          <w:rFonts w:cs="Arial"/>
          <w:sz w:val="22"/>
          <w:szCs w:val="22"/>
          <w:lang w:val="es-MX"/>
        </w:rPr>
        <w:t xml:space="preserve">ingreso </w:t>
      </w:r>
      <w:r w:rsidR="005D7FF8" w:rsidRPr="00917393">
        <w:rPr>
          <w:rFonts w:cs="Arial"/>
          <w:spacing w:val="20"/>
          <w:sz w:val="22"/>
          <w:szCs w:val="22"/>
          <w:lang w:val="es-MX"/>
        </w:rPr>
        <w:t>devengado</w:t>
      </w:r>
      <w:r w:rsidRPr="00917393">
        <w:rPr>
          <w:rFonts w:cs="Arial"/>
          <w:sz w:val="22"/>
          <w:szCs w:val="22"/>
          <w:lang w:val="es-MX"/>
        </w:rPr>
        <w:t xml:space="preserve">, es el momento contable que se realiza cuando existe jurídicamente el derecho de  </w:t>
      </w:r>
      <w:r w:rsidRPr="00917393">
        <w:rPr>
          <w:rFonts w:cs="Arial"/>
          <w:spacing w:val="2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cobro de impuestos, derechos, productos, aprovechamientos y otros ingresos por parte de los</w:t>
      </w:r>
      <w:r w:rsidRPr="00917393">
        <w:rPr>
          <w:rFonts w:cs="Arial"/>
          <w:spacing w:val="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 públicos. El gasto devengado, es el momento contable que refleja el reconocimiento de una</w:t>
      </w:r>
      <w:r w:rsidRPr="00917393">
        <w:rPr>
          <w:rFonts w:cs="Arial"/>
          <w:spacing w:val="-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obligación 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pago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favor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terceros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recepción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conformidad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bienes,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servicios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obra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pública contratados;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así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como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las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que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derivan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tratados,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leyes,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decretos,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resoluciones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 sentencias</w:t>
      </w:r>
      <w:r w:rsidRPr="00917393">
        <w:rPr>
          <w:rFonts w:cs="Arial"/>
          <w:spacing w:val="-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definitivas.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Debe entenderse por realizado el ingreso derivado de contribuciones y participaciones cuando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exista jurídicamente el derecho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cobro;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49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gastos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consideran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devengados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desde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momento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formalizan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transacciones, mediante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recepción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servicios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bienes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satisfacción,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independientemente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fecha de pago.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5"/>
        <w:contextualSpacing w:val="0"/>
        <w:jc w:val="both"/>
        <w:rPr>
          <w:rFonts w:ascii="Arial" w:eastAsia="Arial" w:hAnsi="Arial" w:cs="Arial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Periodo</w:t>
      </w:r>
      <w:r w:rsidRPr="00576EB2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Contable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vida del ente público se divide en períodos uniformes de un año calendario, para efectos de</w:t>
      </w:r>
      <w:r w:rsidRPr="00917393">
        <w:rPr>
          <w:rFonts w:ascii="Arial" w:hAnsi="Arial" w:cs="Arial"/>
          <w:spacing w:val="49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forma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periódica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registro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 rendición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cuentas;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 lo que se refiere a la contabilidad gubernamental, el periodo relativo es de un año</w:t>
      </w:r>
      <w:r w:rsidRPr="00917393">
        <w:rPr>
          <w:rFonts w:ascii="Arial" w:hAnsi="Arial" w:cs="Arial"/>
          <w:spacing w:val="35"/>
        </w:rPr>
        <w:t xml:space="preserve"> </w:t>
      </w:r>
      <w:r w:rsidRPr="00917393">
        <w:rPr>
          <w:rFonts w:ascii="Arial" w:hAnsi="Arial" w:cs="Arial"/>
        </w:rPr>
        <w:t>calendario, que comprende a partir del 1 de enero hasta el 31 de diciembre, y está directamente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relacionado con la ejecución de la Ley de Ingresos y el ejercicio del presupuesto de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egresos;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necesidad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resultados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  <w:spacing w:val="2"/>
        </w:rPr>
        <w:t>ente</w:t>
      </w:r>
      <w:r w:rsidRPr="00917393">
        <w:rPr>
          <w:rFonts w:ascii="Arial" w:hAnsi="Arial" w:cs="Arial"/>
        </w:rPr>
        <w:t xml:space="preserve"> </w:t>
      </w:r>
      <w:r w:rsidR="00D85EC9"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</w:rPr>
        <w:t xml:space="preserve"> hace indispensable dividir la vida continua del mismo en períodos uniformes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permitiendo su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comparabilidad;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algún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inicie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transcurso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año,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primer ejercicio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abarcará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partir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inicio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éstas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hasta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31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diciembre;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tratándose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 entes públicos que dejen de existir durante el ejercicio, concluirán sus operaciones en esa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fecha, e incluirán los resultados obtenidos en la cuenta pública anual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correspondiente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efectos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evaluación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seguimiento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gestión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financiera,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así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como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emisión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 estados financieros para fines específicos se podrán presentar informes contables por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períodos distintos, sin que esto signifique la ejecución de un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cierre.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500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VALUACION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Todos los eventos que afecten económicamente al ente público deben ser cuantificados en términos monetarios y se registrarán al costo histórico o al valor económico más objetivo registrándose en moneda</w:t>
      </w:r>
      <w:r w:rsidRPr="00917393">
        <w:rPr>
          <w:rFonts w:cs="Arial"/>
          <w:spacing w:val="-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nacional.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 xml:space="preserve">El costo histórico de las operaciones corresponde al monto erogado para </w:t>
      </w:r>
      <w:r w:rsidR="00D85EC9" w:rsidRPr="00917393">
        <w:rPr>
          <w:rFonts w:ascii="Arial" w:hAnsi="Arial" w:cs="Arial"/>
        </w:rPr>
        <w:t>su adquisición</w:t>
      </w:r>
      <w:r w:rsidRPr="00917393">
        <w:rPr>
          <w:rFonts w:ascii="Arial" w:hAnsi="Arial" w:cs="Arial"/>
        </w:rPr>
        <w:t xml:space="preserve"> conforme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documentación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original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justificativa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comprobatoria,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bien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valor estimado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avalúo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producto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donación,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expropiación,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adjudicación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dación en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pago;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reflejada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revaluada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métodos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 lineamientos que para tal efecto emita el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CONAC.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6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35"/>
          <w:tab w:val="left" w:pos="9639"/>
        </w:tabs>
        <w:spacing w:before="0" w:line="360" w:lineRule="auto"/>
        <w:ind w:left="434" w:right="12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DUALIDAD</w:t>
      </w:r>
      <w:r w:rsidRPr="007A791A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ECONOMICA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 ente público debe reconocer en la contabilidad, la representación de las transacciones y algún otro</w:t>
      </w:r>
      <w:r w:rsidRPr="00917393">
        <w:rPr>
          <w:rFonts w:cs="Arial"/>
          <w:spacing w:val="1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evento que afecte su situación financiera, su composición por los recursos asignados para el logro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 sus fines y por sus fuentes, conforme a los derechos y</w:t>
      </w:r>
      <w:r w:rsidRPr="00917393">
        <w:rPr>
          <w:rFonts w:cs="Arial"/>
          <w:spacing w:val="-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activos representan recursos que fueron asignados y capitalizados por el ente público, en tanto que los pasivos y el patrimonio representan los financiamientos y los activos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netos, respectivamente;</w:t>
      </w:r>
    </w:p>
    <w:p w:rsidR="006D3D34" w:rsidRPr="00B71EB7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fuentes de los recursos están reconocidas dentro de los conceptos de la Ley de</w:t>
      </w:r>
      <w:r w:rsidRPr="00917393">
        <w:rPr>
          <w:rFonts w:ascii="Arial" w:hAnsi="Arial" w:cs="Arial"/>
          <w:spacing w:val="-15"/>
        </w:rPr>
        <w:t xml:space="preserve"> </w:t>
      </w:r>
      <w:r w:rsidRPr="00917393">
        <w:rPr>
          <w:rFonts w:ascii="Arial" w:hAnsi="Arial" w:cs="Arial"/>
        </w:rPr>
        <w:t>Ingresos.</w:t>
      </w:r>
    </w:p>
    <w:p w:rsidR="00B71EB7" w:rsidRPr="00917393" w:rsidRDefault="00B71EB7" w:rsidP="00B71EB7">
      <w:pPr>
        <w:pStyle w:val="Prrafodelista"/>
        <w:widowControl w:val="0"/>
        <w:tabs>
          <w:tab w:val="left" w:pos="660"/>
          <w:tab w:val="left" w:pos="9639"/>
        </w:tabs>
        <w:spacing w:after="0" w:line="360" w:lineRule="auto"/>
        <w:ind w:left="659" w:right="266"/>
        <w:contextualSpacing w:val="0"/>
        <w:jc w:val="right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575"/>
          <w:tab w:val="left" w:pos="9639"/>
        </w:tabs>
        <w:spacing w:before="0" w:line="360" w:lineRule="auto"/>
        <w:ind w:left="574" w:right="26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CONSISTENCIA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Ante la existencia de operaciones similares en un ente público, debe corresponder un mismo tratamiento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cual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permanecer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través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tiempo,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tanto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cambie</w:t>
      </w:r>
      <w:r w:rsidRPr="00917393">
        <w:rPr>
          <w:rFonts w:cs="Arial"/>
          <w:spacing w:val="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esencia económica de las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operaciones.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 xml:space="preserve">Las políticas, métodos de cuantificación, procedimientos contables y ordenamientos </w:t>
      </w:r>
      <w:r w:rsidR="00D85EC9" w:rsidRPr="00917393">
        <w:rPr>
          <w:rFonts w:ascii="Arial" w:hAnsi="Arial" w:cs="Arial"/>
        </w:rPr>
        <w:t>normativos,</w:t>
      </w:r>
      <w:r w:rsidR="00D85EC9" w:rsidRPr="00917393">
        <w:rPr>
          <w:rFonts w:ascii="Arial" w:hAnsi="Arial" w:cs="Arial"/>
          <w:spacing w:val="30"/>
        </w:rPr>
        <w:t xml:space="preserve"> </w:t>
      </w:r>
      <w:r w:rsidR="00D85EC9" w:rsidRPr="00917393">
        <w:rPr>
          <w:rFonts w:ascii="Arial" w:hAnsi="Arial" w:cs="Arial"/>
        </w:rPr>
        <w:t>deberán</w:t>
      </w:r>
      <w:r w:rsidRPr="00917393">
        <w:rPr>
          <w:rFonts w:ascii="Arial" w:hAnsi="Arial" w:cs="Arial"/>
        </w:rPr>
        <w:t xml:space="preserve"> ser acordes para cumplir con lo dispuesto en la Ley de Contabilidad, con la finalidad</w:t>
      </w:r>
      <w:r w:rsidRPr="00917393">
        <w:rPr>
          <w:rFonts w:ascii="Arial" w:hAnsi="Arial" w:cs="Arial"/>
          <w:spacing w:val="34"/>
        </w:rPr>
        <w:t xml:space="preserve"> </w:t>
      </w:r>
      <w:r w:rsidRPr="00917393">
        <w:rPr>
          <w:rFonts w:ascii="Arial" w:hAnsi="Arial" w:cs="Arial"/>
        </w:rPr>
        <w:t>de 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mejor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forma,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sustancia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realizadas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por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ente público, debiendo aplicarse de manera uniforme a lo largo del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tiempo;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Cuando por la emisión de una nueva norma, cambie el procedimiento de cuantificación,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 xml:space="preserve">las políticas contables, los procedimientos de registro y la </w:t>
      </w:r>
      <w:r w:rsidRPr="00917393">
        <w:rPr>
          <w:rFonts w:ascii="Arial" w:hAnsi="Arial" w:cs="Arial"/>
        </w:rPr>
        <w:lastRenderedPageBreak/>
        <w:t>presentación de la información</w:t>
      </w:r>
      <w:r w:rsidRPr="00917393">
        <w:rPr>
          <w:rFonts w:ascii="Arial" w:hAnsi="Arial" w:cs="Arial"/>
          <w:spacing w:val="50"/>
        </w:rPr>
        <w:t xml:space="preserve"> </w:t>
      </w:r>
      <w:r w:rsidRPr="00917393">
        <w:rPr>
          <w:rFonts w:ascii="Arial" w:hAnsi="Arial" w:cs="Arial"/>
        </w:rPr>
        <w:t>financiera que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revelar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claramente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estados financieros el motivo, justificación y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efecto;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41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estados financieros correspondientes a cada ejercicio seguirán los mismos criterios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y métodos de valuación utilizados en ejercicios precedentes, salvo cambios en el modelo</w:t>
      </w:r>
      <w:r w:rsidRPr="00917393">
        <w:rPr>
          <w:rFonts w:ascii="Arial" w:hAnsi="Arial" w:cs="Arial"/>
          <w:spacing w:val="45"/>
        </w:rPr>
        <w:t xml:space="preserve"> </w:t>
      </w:r>
      <w:r w:rsidRPr="00917393">
        <w:rPr>
          <w:rFonts w:ascii="Arial" w:hAnsi="Arial" w:cs="Arial"/>
        </w:rPr>
        <w:t>contable de aplicación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general;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2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observancia de este postulado no imposibilita el cambio en la aplicación de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reglas, lineamientos, métodos de cuantificación y procedimientos contables; sólo se exige, que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cuando 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efectúe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modificación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revelar claramente en los estados financieros: su motivo, justificación y efecto, con el fin de fortalecer</w:t>
      </w:r>
      <w:r w:rsidRPr="00917393">
        <w:rPr>
          <w:rFonts w:ascii="Arial" w:hAnsi="Arial" w:cs="Arial"/>
          <w:spacing w:val="31"/>
        </w:rPr>
        <w:t xml:space="preserve"> </w:t>
      </w:r>
      <w:r w:rsidRPr="00917393">
        <w:rPr>
          <w:rFonts w:ascii="Arial" w:hAnsi="Arial" w:cs="Arial"/>
        </w:rPr>
        <w:t>la utilidad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información.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También,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obliga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mostrar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 resultados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bases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técnicas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jurídicas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consistentes,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permitan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comparación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 ella misma sobre la información de otros períodos y conocer su posición relativa con otros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entes económicos similares.</w:t>
      </w: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:rsidR="00576EB2" w:rsidRPr="00917393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las entidades que por primera vez estén implementando la base devengado de acuerdo a la Ley de Contabilidad, deberán: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6EB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Pr="00917393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sz w:val="22"/>
          <w:szCs w:val="22"/>
        </w:rPr>
      </w:pPr>
      <w:bookmarkStart w:id="9" w:name="_Toc508279626"/>
      <w:r w:rsidRPr="00917393">
        <w:rPr>
          <w:rFonts w:ascii="Arial" w:hAnsi="Arial" w:cs="Arial"/>
          <w:b/>
          <w:color w:val="auto"/>
          <w:sz w:val="22"/>
          <w:szCs w:val="22"/>
        </w:rPr>
        <w:t>6. Políticas de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 xml:space="preserve"> Contabilidad Significativas:</w:t>
      </w:r>
      <w:bookmarkEnd w:id="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Actualización: se informará del método utilizado para la actualización del valor de los activos, pasivos y Hacienda Pública/</w:t>
      </w:r>
      <w:r w:rsidR="00657009" w:rsidRPr="00917393">
        <w:rPr>
          <w:rFonts w:ascii="Arial" w:hAnsi="Arial" w:cs="Arial"/>
        </w:rPr>
        <w:t>P</w:t>
      </w:r>
      <w:r w:rsidRPr="00917393">
        <w:rPr>
          <w:rFonts w:ascii="Arial" w:hAnsi="Arial" w:cs="Arial"/>
        </w:rPr>
        <w:t>atrimonio y las razones de dicha elección. Así como informar de la desconexión o reconexión inflacionaria: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Informar sobre la realización de operaciones en el extranjero y de sus efectos en la información financiera gubernamental: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951D02" w:rsidRP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Método de valuación de la inversión en acciones de Compañías subsidiarias no consolidadas y asociadas: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Sistema y método de valuación de inventarios y costo de lo vendido:</w:t>
      </w:r>
    </w:p>
    <w:p w:rsidR="00576EB2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Provisiones: objetivo de su creación, monto y plazo:</w:t>
      </w: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951D02" w:rsidRPr="00917393"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g)</w:t>
      </w:r>
      <w:r w:rsidRPr="00917393">
        <w:rPr>
          <w:rFonts w:ascii="Arial" w:hAnsi="Arial" w:cs="Arial"/>
        </w:rPr>
        <w:t xml:space="preserve"> Reservas: objetivo de su creación, monto y plazo: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 xml:space="preserve">.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i)</w:t>
      </w:r>
      <w:r w:rsidRPr="00917393">
        <w:rPr>
          <w:rFonts w:ascii="Arial" w:hAnsi="Arial" w:cs="Arial"/>
        </w:rPr>
        <w:t xml:space="preserve"> Reclasificaciones: Se deben revelar todos aquellos movimientos entre cuentas por efectos de cambios en los tipos de operaciones: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j)</w:t>
      </w:r>
      <w:r w:rsidRPr="00917393">
        <w:rPr>
          <w:rFonts w:ascii="Arial" w:hAnsi="Arial" w:cs="Arial"/>
        </w:rPr>
        <w:t xml:space="preserve"> Depuración y cancelación de saldos: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576EB2" w:rsidRPr="00917393">
        <w:rPr>
          <w:rFonts w:ascii="Arial" w:hAnsi="Arial" w:cs="Arial"/>
        </w:rPr>
        <w:t xml:space="preserve"> </w:t>
      </w:r>
    </w:p>
    <w:p w:rsidR="00E00323" w:rsidRPr="00917393" w:rsidRDefault="00E0032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0" w:name="_Toc508279627"/>
      <w:r w:rsidRPr="00917393">
        <w:rPr>
          <w:rFonts w:ascii="Arial" w:hAnsi="Arial" w:cs="Arial"/>
          <w:b/>
          <w:color w:val="auto"/>
          <w:sz w:val="22"/>
          <w:szCs w:val="22"/>
        </w:rPr>
        <w:t>7. Posición en Moneda Extranjera y Pro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tección por Riesgo Cambiario:</w:t>
      </w:r>
      <w:bookmarkEnd w:id="1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Pasivos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4F0DC9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Pr="00917393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 xml:space="preserve">c) </w:t>
      </w:r>
      <w:r w:rsidRPr="00917393">
        <w:rPr>
          <w:rFonts w:ascii="Arial" w:hAnsi="Arial" w:cs="Arial"/>
        </w:rPr>
        <w:t>Posición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 w:rsidR="007A791A"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Tipo de cambio: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Equivalente en moneda nacional: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 anterior por cada tipo de moneda extranjera que se encuentre en los rubros de activo y pasivo.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 se informará sobre los métodos de protección de riesgo por vari</w:t>
      </w:r>
      <w:r w:rsidR="00E00323" w:rsidRPr="00917393">
        <w:rPr>
          <w:rFonts w:ascii="Arial" w:hAnsi="Arial" w:cs="Arial"/>
        </w:rPr>
        <w:t>aciones en el tipo de cambio.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1" w:name="_Toc508279628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8.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Reporte Analítico del Activo:</w:t>
      </w:r>
      <w:bookmarkEnd w:id="11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Debe mostrar la siguien</w:t>
      </w:r>
      <w:r w:rsidR="00E00323" w:rsidRPr="00917393">
        <w:rPr>
          <w:rFonts w:ascii="Arial" w:hAnsi="Arial" w:cs="Arial"/>
        </w:rPr>
        <w:t>te información: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32702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Vida útil o porcentajes de depreciación, deterioro o amortización utilizados en l</w:t>
      </w:r>
      <w:r w:rsidR="00DC7448">
        <w:rPr>
          <w:rFonts w:ascii="Arial" w:hAnsi="Arial" w:cs="Arial"/>
        </w:rPr>
        <w:t>os diferentes tipos de activos: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Cambios en el porcentaje de depreciación o valor residual de los activos: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c)</w:t>
      </w:r>
      <w:r w:rsidRPr="00917393">
        <w:rPr>
          <w:rFonts w:ascii="Arial" w:hAnsi="Arial" w:cs="Arial"/>
        </w:rPr>
        <w:t xml:space="preserve"> Importe de los gastos capitalizados en el ejercicio, tanto financieros como de investigación y desarrollo:</w:t>
      </w:r>
    </w:p>
    <w:p w:rsidR="00D800D1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Rie</w:t>
      </w:r>
      <w:r w:rsidR="001973A2" w:rsidRPr="00917393">
        <w:rPr>
          <w:rFonts w:ascii="Arial" w:hAnsi="Arial" w:cs="Arial"/>
        </w:rPr>
        <w:t>s</w:t>
      </w:r>
      <w:r w:rsidRPr="00917393">
        <w:rPr>
          <w:rFonts w:ascii="Arial" w:hAnsi="Arial" w:cs="Arial"/>
        </w:rPr>
        <w:t>gos por tipo de cambio o tipo de interés de las inversiones financieras: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Valor activado en el ejercicio de los bienes construidos por la entidad: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7A791A">
        <w:rPr>
          <w:rFonts w:ascii="Arial" w:hAnsi="Arial" w:cs="Arial"/>
        </w:rPr>
        <w:t>e inversiones financieras, etc.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Desmantelamiento de Activos, procedimientos, implicaciones, efectos contables: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Administración de activos; planeación con el objetivo de que el ente los utilice de manera más efectiva: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A552A" w:rsidRDefault="00EA552A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cuenta con reservas de tierra en cual se tiene proyectado el desarrollo de un fraccionamiento denominado Los Pirules y la segunda etapa del Fraccionamiento Calquetzani.</w:t>
      </w:r>
    </w:p>
    <w:p w:rsidR="00036B25" w:rsidRDefault="00EA552A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Se tiene la cuenta de inversión </w:t>
      </w:r>
      <w:r w:rsidRPr="00EA552A">
        <w:rPr>
          <w:rFonts w:ascii="Arial" w:hAnsi="Arial" w:cs="Arial"/>
          <w:b/>
          <w:sz w:val="20"/>
          <w:szCs w:val="18"/>
          <w:lang w:eastAsia="es-MX"/>
        </w:rPr>
        <w:t>07639388-0</w:t>
      </w:r>
      <w:r w:rsidRPr="00EA552A">
        <w:rPr>
          <w:rFonts w:ascii="Arial" w:hAnsi="Arial" w:cs="Arial"/>
          <w:sz w:val="20"/>
          <w:szCs w:val="18"/>
          <w:lang w:eastAsia="es-MX"/>
        </w:rPr>
        <w:t xml:space="preserve">, </w:t>
      </w:r>
      <w:r w:rsidRPr="00EA552A">
        <w:rPr>
          <w:rFonts w:ascii="Arial" w:hAnsi="Arial" w:cs="Arial"/>
          <w:szCs w:val="20"/>
          <w:lang w:eastAsia="es-MX"/>
        </w:rPr>
        <w:t>la cu</w:t>
      </w:r>
      <w:r>
        <w:rPr>
          <w:rFonts w:ascii="Arial" w:hAnsi="Arial" w:cs="Arial"/>
          <w:szCs w:val="20"/>
          <w:lang w:eastAsia="es-MX"/>
        </w:rPr>
        <w:t>a</w:t>
      </w:r>
      <w:r w:rsidRPr="00EA552A">
        <w:rPr>
          <w:rFonts w:ascii="Arial" w:hAnsi="Arial" w:cs="Arial"/>
          <w:szCs w:val="20"/>
          <w:lang w:eastAsia="es-MX"/>
        </w:rPr>
        <w:t xml:space="preserve">l es de bajo </w:t>
      </w:r>
      <w:r w:rsidRPr="00EA552A">
        <w:rPr>
          <w:rFonts w:ascii="Arial" w:hAnsi="Arial" w:cs="Arial"/>
          <w:szCs w:val="20"/>
        </w:rPr>
        <w:t>riesgo</w:t>
      </w:r>
    </w:p>
    <w:p w:rsidR="00036B25" w:rsidRDefault="00036B25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Los vehículos cuentan con sus respectivas pólizas de seguros.</w:t>
      </w:r>
      <w:r w:rsidR="00EA552A">
        <w:rPr>
          <w:rFonts w:ascii="Arial" w:hAnsi="Arial" w:cs="Arial"/>
        </w:rPr>
        <w:t xml:space="preserve"> </w:t>
      </w:r>
    </w:p>
    <w:p w:rsidR="00EA552A" w:rsidRPr="00917393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Adicionalmente, se deben incluir las explicaciones de las principales variaciones en el activo, en cua</w:t>
      </w:r>
      <w:r w:rsidR="005E231E" w:rsidRPr="00917393">
        <w:rPr>
          <w:rFonts w:ascii="Arial" w:hAnsi="Arial" w:cs="Arial"/>
        </w:rPr>
        <w:t>dros comparativos como sigue:</w:t>
      </w:r>
    </w:p>
    <w:p w:rsidR="007A791A" w:rsidRPr="00917393" w:rsidRDefault="007A791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Inversiones en valores: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036B25" w:rsidTr="00D26277"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Inicial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Inversiones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Retiros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Final</w:t>
            </w:r>
          </w:p>
        </w:tc>
      </w:tr>
      <w:tr w:rsidR="00036B25" w:rsidTr="00D26277"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</w:tr>
    </w:tbl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Patrimonio de Organismos descentralizados de Control Presupuestario Indirecto: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Inversiones en empresas de participación mayoritaria: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Inversiones en empresas de participación minoritaria: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Patrimonio de organismos descentralizados de control presupuestario directo, según corresponda: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2" w:name="_Toc508279629"/>
      <w:r w:rsidRPr="00917393">
        <w:rPr>
          <w:rFonts w:ascii="Arial" w:hAnsi="Arial" w:cs="Arial"/>
          <w:b/>
          <w:color w:val="auto"/>
          <w:sz w:val="22"/>
          <w:szCs w:val="22"/>
        </w:rPr>
        <w:t>9. Fidei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comisos, Mandatos y Análogos:</w:t>
      </w:r>
      <w:bookmarkEnd w:id="12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deberá informar: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Por ramo administrativo que los reporta: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F3DAD" w:rsidRDefault="000F3DAD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F3DAD" w:rsidRDefault="000F3DAD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Enlistar los de mayor monto de disponibilidad, relacionando aquéllos que conforman el 80% de las disponibilidades: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3" w:name="_Toc508279630"/>
      <w:r w:rsidRPr="00917393">
        <w:rPr>
          <w:rFonts w:ascii="Arial" w:hAnsi="Arial" w:cs="Arial"/>
          <w:b/>
          <w:color w:val="auto"/>
          <w:sz w:val="22"/>
          <w:szCs w:val="22"/>
        </w:rPr>
        <w:t>10. Reporte de la Recaudación:</w:t>
      </w:r>
      <w:bookmarkEnd w:id="1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Análisis del comportamiento de la recaudación correspondiente al ente público o cualquier tipo de ingreso, de forma separada los ingresos locales de los federales:</w:t>
      </w:r>
    </w:p>
    <w:p w:rsidR="004F1E22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7400" w:type="dxa"/>
        <w:tblInd w:w="1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</w:tblGrid>
      <w:tr w:rsidR="00002014" w:rsidRPr="00002014" w:rsidTr="00002014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POR RECUDAR</w:t>
            </w:r>
          </w:p>
        </w:tc>
      </w:tr>
      <w:tr w:rsidR="00002014" w:rsidRPr="00002014" w:rsidTr="00002014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Trasferencias Municipales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3,464,127.00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</w:t>
            </w:r>
            <w:r w:rsidR="00EA5B4A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 w:rsidR="00EA5B4A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921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EA5B4A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,5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79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776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EA5B4A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711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145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002014" w:rsidRPr="00002014" w:rsidTr="00002014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002014" w:rsidRPr="00002014" w:rsidTr="00002014">
        <w:trPr>
          <w:trHeight w:val="3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Ingreso propio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11,262,974.84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EA5B4A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910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092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EA5B4A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699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395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EA5B4A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210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696</w:t>
            </w:r>
            <w:r w:rsidR="00002014"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74</w:t>
            </w:r>
          </w:p>
        </w:tc>
      </w:tr>
      <w:tr w:rsidR="00002014" w:rsidRPr="00002014" w:rsidTr="00002014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Remanentes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803,000.00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2,672,790.38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554,653.22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2,118,137.16</w:t>
            </w:r>
          </w:p>
        </w:tc>
      </w:tr>
      <w:tr w:rsidR="00002014" w:rsidRPr="00002014" w:rsidTr="00002014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15,530,101.84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002014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EA5B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EA5B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873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,8</w:t>
            </w:r>
            <w:r w:rsidR="00EA5B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EA5B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EA5B4A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  <w:r w:rsidR="00002014"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833</w:t>
            </w:r>
            <w:r w:rsidR="00002014"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824</w:t>
            </w:r>
            <w:r w:rsidR="00002014"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014" w:rsidRPr="00002014" w:rsidRDefault="00EA5B4A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="00002014"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039</w:t>
            </w:r>
            <w:r w:rsidR="00002014"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978</w:t>
            </w:r>
            <w:r w:rsidR="00002014"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90</w:t>
            </w:r>
          </w:p>
        </w:tc>
      </w:tr>
    </w:tbl>
    <w:p w:rsidR="00AA5671" w:rsidRDefault="00AA567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728A3" w:rsidRDefault="003728A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Proyección de la recaudación e ingresos en el mediano plazo: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6080" w:type="dxa"/>
        <w:tblInd w:w="1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</w:tblGrid>
      <w:tr w:rsidR="00416254" w:rsidRPr="00416254" w:rsidTr="00416254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2021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2022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2023</w:t>
            </w:r>
          </w:p>
        </w:tc>
      </w:tr>
      <w:tr w:rsidR="00416254" w:rsidRPr="00416254" w:rsidTr="00416254">
        <w:trPr>
          <w:trHeight w:val="3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Trasferencias Municipales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  3,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921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  3,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753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728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254" w:rsidRPr="00416254" w:rsidTr="0041625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 propio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11,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582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882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40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5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742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375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.5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6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254" w:rsidRPr="00416254" w:rsidTr="0041625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14,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873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496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.5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853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056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4" w:name="_Toc508279631"/>
      <w:r w:rsidRPr="00917393">
        <w:rPr>
          <w:rFonts w:ascii="Arial" w:hAnsi="Arial" w:cs="Arial"/>
          <w:b/>
          <w:color w:val="auto"/>
          <w:sz w:val="22"/>
          <w:szCs w:val="22"/>
        </w:rPr>
        <w:t>11. Información sobre la Deuda y el R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eporte Analítico de la Deuda:</w:t>
      </w:r>
      <w:bookmarkEnd w:id="1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Utilizar al menos los siguientes indicadores: deuda respecto al PIB y deuda respecto a la recaudación tomando, como mínimo, un período igual o menor a 5 años.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16254" w:rsidRDefault="0041625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Información de manera agrupada por tipo de valor gubernamental o instrumento financiero en la que se considere</w:t>
      </w:r>
      <w:r w:rsidR="001973A2" w:rsidRPr="00917393">
        <w:rPr>
          <w:rFonts w:ascii="Arial" w:hAnsi="Arial" w:cs="Arial"/>
        </w:rPr>
        <w:t>n</w:t>
      </w:r>
      <w:r w:rsidRPr="00917393">
        <w:rPr>
          <w:rFonts w:ascii="Arial" w:hAnsi="Arial" w:cs="Arial"/>
        </w:rPr>
        <w:t xml:space="preserve"> intereses, comisiones, tasa, perfil de vencimiento y otros gastos de la deuda.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* Se </w:t>
      </w:r>
      <w:r w:rsidR="000C3365" w:rsidRPr="00917393">
        <w:rPr>
          <w:rFonts w:ascii="Arial" w:hAnsi="Arial" w:cs="Arial"/>
        </w:rPr>
        <w:t>anexará</w:t>
      </w:r>
      <w:r w:rsidRPr="00917393">
        <w:rPr>
          <w:rFonts w:ascii="Arial" w:hAnsi="Arial" w:cs="Arial"/>
        </w:rPr>
        <w:t xml:space="preserve"> la informació</w:t>
      </w:r>
      <w:r w:rsidR="005E231E" w:rsidRPr="00917393">
        <w:rPr>
          <w:rFonts w:ascii="Arial" w:hAnsi="Arial" w:cs="Arial"/>
        </w:rPr>
        <w:t>n en las notas de desglose.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B33697" w:rsidRPr="00917393" w:rsidRDefault="00B3369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5" w:name="_Toc508279632"/>
      <w:r w:rsidRPr="00917393">
        <w:rPr>
          <w:rFonts w:ascii="Arial" w:hAnsi="Arial" w:cs="Arial"/>
          <w:b/>
          <w:color w:val="auto"/>
          <w:sz w:val="22"/>
          <w:szCs w:val="22"/>
        </w:rPr>
        <w:t>12.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 xml:space="preserve"> Calificaciones otorgadas:</w:t>
      </w:r>
      <w:bookmarkEnd w:id="15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Informar, tanto del ente público como cualquier transacción realizada, que haya sido sujeta a una calificación crediticia: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6" w:name="_Toc508279633"/>
      <w:r w:rsidRPr="00917393">
        <w:rPr>
          <w:rFonts w:ascii="Arial" w:hAnsi="Arial" w:cs="Arial"/>
          <w:b/>
          <w:color w:val="auto"/>
          <w:sz w:val="22"/>
          <w:szCs w:val="22"/>
        </w:rPr>
        <w:t>13. Proceso de Mejora:</w:t>
      </w:r>
      <w:bookmarkEnd w:id="16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de: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Principales Políticas de control interno: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16254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>
        <w:rPr>
          <w:rFonts w:ascii="Arial" w:hAnsi="Arial" w:cs="Arial"/>
        </w:rPr>
        <w:t xml:space="preserve">Se </w:t>
      </w:r>
      <w:r w:rsidR="00416254">
        <w:rPr>
          <w:rFonts w:ascii="Arial" w:hAnsi="Arial" w:cs="Arial"/>
        </w:rPr>
        <w:t>cuenta con un sistema de cobranza denominado IMUVIX al cual se le siguen haciendo mejoras, con el objetivo de tener un mejor sistema de control, en cuanto a la</w:t>
      </w:r>
      <w:r w:rsidR="007213ED">
        <w:rPr>
          <w:rFonts w:ascii="Arial" w:hAnsi="Arial" w:cs="Arial"/>
        </w:rPr>
        <w:t xml:space="preserve"> cobranza</w:t>
      </w:r>
      <w:r w:rsidR="00416254">
        <w:rPr>
          <w:rFonts w:ascii="Arial" w:hAnsi="Arial" w:cs="Arial"/>
        </w:rPr>
        <w:t xml:space="preserve"> se requiere.</w:t>
      </w:r>
    </w:p>
    <w:p w:rsidR="007D1E76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Medidas de desempeño financiero, metas y alcance: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B0705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EB0705">
        <w:rPr>
          <w:rFonts w:ascii="Arial" w:hAnsi="Arial" w:cs="Arial"/>
        </w:rPr>
        <w:t>A</w:t>
      </w:r>
      <w:r w:rsidR="007213ED">
        <w:rPr>
          <w:rFonts w:ascii="Arial" w:hAnsi="Arial" w:cs="Arial"/>
        </w:rPr>
        <w:t>lcanzar l</w:t>
      </w:r>
      <w:r w:rsidR="00416254">
        <w:rPr>
          <w:rFonts w:ascii="Arial" w:hAnsi="Arial" w:cs="Arial"/>
        </w:rPr>
        <w:t>as metas establecidas en la captación de ingresos.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7" w:name="_Toc508279634"/>
      <w:r w:rsidRPr="00917393">
        <w:rPr>
          <w:rFonts w:ascii="Arial" w:hAnsi="Arial" w:cs="Arial"/>
          <w:b/>
          <w:color w:val="auto"/>
          <w:sz w:val="22"/>
          <w:szCs w:val="22"/>
        </w:rPr>
        <w:t>1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4. Información por Segmentos:</w:t>
      </w:r>
      <w:bookmarkEnd w:id="17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84D0B" w:rsidRDefault="00984D0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Consecuentemente, esta información contribuye al análisis más preciso de la situación financiera, grados y fuentes de riesgo y crec</w:t>
      </w:r>
      <w:r w:rsidR="005E231E" w:rsidRPr="00917393">
        <w:rPr>
          <w:rFonts w:ascii="Arial" w:hAnsi="Arial" w:cs="Arial"/>
        </w:rPr>
        <w:t>imiento potencial de negocio.</w:t>
      </w:r>
    </w:p>
    <w:p w:rsidR="00DA4858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8" w:name="_Toc508279635"/>
      <w:r w:rsidRPr="00917393">
        <w:rPr>
          <w:rFonts w:ascii="Arial" w:hAnsi="Arial" w:cs="Arial"/>
          <w:b/>
          <w:color w:val="auto"/>
          <w:sz w:val="22"/>
          <w:szCs w:val="22"/>
        </w:rPr>
        <w:t>15. 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ventos Posteriores al Cierre:</w:t>
      </w:r>
      <w:bookmarkEnd w:id="18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informará el efecto en sus estados financieros de aquellos hechos ocurridos en el período posterior al que informa, que proporcionan mayor evidencia sobre eventos que le </w:t>
      </w:r>
      <w:r w:rsidR="00984D0B" w:rsidRPr="00917393">
        <w:rPr>
          <w:rFonts w:ascii="Arial" w:hAnsi="Arial" w:cs="Arial"/>
        </w:rPr>
        <w:t>afectan económicamente</w:t>
      </w:r>
      <w:r w:rsidRPr="00917393">
        <w:rPr>
          <w:rFonts w:ascii="Arial" w:hAnsi="Arial" w:cs="Arial"/>
        </w:rPr>
        <w:t xml:space="preserve"> y que no se cono</w:t>
      </w:r>
      <w:r w:rsidR="005E231E" w:rsidRPr="00917393">
        <w:rPr>
          <w:rFonts w:ascii="Arial" w:hAnsi="Arial" w:cs="Arial"/>
        </w:rPr>
        <w:t>cían a la fecha de cierre.</w:t>
      </w:r>
      <w:r w:rsidR="005E231E" w:rsidRPr="00917393">
        <w:rPr>
          <w:rFonts w:ascii="Arial" w:hAnsi="Arial" w:cs="Arial"/>
        </w:rPr>
        <w:cr/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E231E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9" w:name="_Toc508279636"/>
      <w:r w:rsidRPr="00917393">
        <w:rPr>
          <w:rFonts w:ascii="Arial" w:hAnsi="Arial" w:cs="Arial"/>
          <w:b/>
          <w:color w:val="auto"/>
          <w:sz w:val="22"/>
          <w:szCs w:val="22"/>
        </w:rPr>
        <w:t>16. Partes Relacionadas:</w:t>
      </w:r>
      <w:bookmarkEnd w:id="1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 establecer por escrito que no existen partes relacionadas que pudieran ejercer influencia significativa sobre la toma de decisiones financieras y operativas: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0" w:name="_Toc508279637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17. </w:t>
      </w:r>
      <w:r w:rsidR="001973A2" w:rsidRPr="00917393">
        <w:rPr>
          <w:rFonts w:ascii="Arial" w:hAnsi="Arial" w:cs="Arial"/>
          <w:b/>
          <w:color w:val="auto"/>
          <w:sz w:val="22"/>
          <w:szCs w:val="22"/>
        </w:rPr>
        <w:t>Responsabilidad Sobre la Presentación Razonable de la Información Contable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:</w:t>
      </w:r>
      <w:bookmarkEnd w:id="2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1973A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Información Contable </w:t>
      </w:r>
      <w:r w:rsidR="00040D4F" w:rsidRPr="00917393">
        <w:rPr>
          <w:rFonts w:ascii="Arial" w:hAnsi="Arial" w:cs="Arial"/>
        </w:rPr>
        <w:t xml:space="preserve">está </w:t>
      </w:r>
      <w:r w:rsidRPr="00917393">
        <w:rPr>
          <w:rFonts w:ascii="Arial" w:hAnsi="Arial" w:cs="Arial"/>
        </w:rPr>
        <w:t xml:space="preserve">firmada en cada página de </w:t>
      </w:r>
      <w:r w:rsidR="00984D0B" w:rsidRPr="00917393">
        <w:rPr>
          <w:rFonts w:ascii="Arial" w:hAnsi="Arial" w:cs="Arial"/>
        </w:rPr>
        <w:t>esta</w:t>
      </w:r>
      <w:r w:rsidR="00040D4F" w:rsidRPr="00917393">
        <w:rPr>
          <w:rFonts w:ascii="Arial" w:hAnsi="Arial" w:cs="Arial"/>
        </w:rPr>
        <w:t xml:space="preserve"> y se </w:t>
      </w:r>
      <w:r w:rsidRPr="00917393">
        <w:rPr>
          <w:rFonts w:ascii="Arial" w:hAnsi="Arial" w:cs="Arial"/>
        </w:rPr>
        <w:t>inclu</w:t>
      </w:r>
      <w:r w:rsidR="00040D4F" w:rsidRPr="00917393">
        <w:rPr>
          <w:rFonts w:ascii="Arial" w:hAnsi="Arial" w:cs="Arial"/>
        </w:rPr>
        <w:t>ye</w:t>
      </w:r>
      <w:r w:rsidRPr="00917393">
        <w:rPr>
          <w:rFonts w:ascii="Arial" w:hAnsi="Arial" w:cs="Arial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 w:rsidR="00040D4F"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</w:rPr>
        <w:t xml:space="preserve"> aplicable para la información contable consolidada.</w:t>
      </w:r>
    </w:p>
    <w:p w:rsidR="007D1E76" w:rsidRPr="00917393" w:rsidRDefault="007D1E76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12405A" w:rsidRPr="00917393" w:rsidRDefault="0012405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AE1F6A" w:rsidRPr="00917393" w:rsidRDefault="00AE1F6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Nota </w:t>
      </w:r>
      <w:r w:rsidR="00CF1316" w:rsidRPr="00917393">
        <w:rPr>
          <w:rFonts w:ascii="Arial" w:hAnsi="Arial" w:cs="Arial"/>
          <w:b/>
        </w:rPr>
        <w:t>1</w:t>
      </w:r>
      <w:r w:rsidRPr="00917393">
        <w:rPr>
          <w:rFonts w:ascii="Arial" w:hAnsi="Arial" w:cs="Arial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p w:rsidR="007610BC" w:rsidRPr="00917393" w:rsidRDefault="007610BC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sectPr w:rsidR="007610BC" w:rsidRPr="00917393" w:rsidSect="00917393">
      <w:headerReference w:type="default" r:id="rId13"/>
      <w:footerReference w:type="default" r:id="rId14"/>
      <w:pgSz w:w="12240" w:h="15840" w:code="1"/>
      <w:pgMar w:top="1134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32" w:rsidRDefault="00496632" w:rsidP="00E00323">
      <w:pPr>
        <w:spacing w:after="0" w:line="240" w:lineRule="auto"/>
      </w:pPr>
      <w:r>
        <w:separator/>
      </w:r>
    </w:p>
  </w:endnote>
  <w:endnote w:type="continuationSeparator" w:id="0">
    <w:p w:rsidR="00496632" w:rsidRDefault="00496632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19" w:rsidRDefault="008B3C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B5039" w:rsidRPr="000B5039">
      <w:rPr>
        <w:noProof/>
        <w:lang w:val="es-ES"/>
      </w:rPr>
      <w:t>1</w:t>
    </w:r>
    <w:r>
      <w:fldChar w:fldCharType="end"/>
    </w:r>
  </w:p>
  <w:p w:rsidR="008B3C19" w:rsidRDefault="008B3C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32" w:rsidRDefault="00496632" w:rsidP="00E00323">
      <w:pPr>
        <w:spacing w:after="0" w:line="240" w:lineRule="auto"/>
      </w:pPr>
      <w:r>
        <w:separator/>
      </w:r>
    </w:p>
  </w:footnote>
  <w:footnote w:type="continuationSeparator" w:id="0">
    <w:p w:rsidR="00496632" w:rsidRDefault="00496632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19" w:rsidRPr="00527383" w:rsidRDefault="00C81695" w:rsidP="00527383">
    <w:pPr>
      <w:pStyle w:val="Encabezado"/>
      <w:spacing w:after="0" w:line="240" w:lineRule="aut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5pt;margin-top:-2.9pt;width:57.35pt;height:39.65pt;z-index:251657728;mso-wrap-style:tight">
          <v:imagedata r:id="rId1" o:title=""/>
        </v:shape>
        <o:OLEObject Type="Embed" ProgID="CorelDraw.Graphic.17" ShapeID="_x0000_s2050" DrawAspect="Content" ObjectID="_1664954411" r:id="rId2"/>
      </w:object>
    </w:r>
    <w:r w:rsidR="008B3C19" w:rsidRPr="00527383">
      <w:rPr>
        <w:b/>
        <w:sz w:val="28"/>
        <w:szCs w:val="26"/>
      </w:rPr>
      <w:t>INSTITUTO MUNICIPAL DE VIVIENDA</w:t>
    </w:r>
  </w:p>
  <w:p w:rsidR="008B3C19" w:rsidRPr="00527383" w:rsidRDefault="008B3C19" w:rsidP="00527383">
    <w:pPr>
      <w:pStyle w:val="Encabezado"/>
      <w:spacing w:after="0" w:line="240" w:lineRule="aut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:rsidR="008B3C19" w:rsidRPr="000C0339" w:rsidRDefault="008B3C19" w:rsidP="00A4610E">
    <w:pPr>
      <w:pStyle w:val="Encabezado"/>
      <w:spacing w:after="0" w:line="240" w:lineRule="auto"/>
      <w:jc w:val="center"/>
      <w:rPr>
        <w:b/>
        <w:color w:val="0070C0"/>
        <w:sz w:val="20"/>
      </w:rPr>
    </w:pPr>
  </w:p>
  <w:p w:rsidR="008B3C19" w:rsidRPr="004D3B96" w:rsidRDefault="00265961" w:rsidP="00A4610E">
    <w:pPr>
      <w:pStyle w:val="Encabezado"/>
      <w:spacing w:after="0" w:line="240" w:lineRule="auto"/>
      <w:jc w:val="center"/>
      <w:rPr>
        <w:sz w:val="20"/>
      </w:rPr>
    </w:pPr>
    <w:r>
      <w:rPr>
        <w:sz w:val="18"/>
      </w:rPr>
      <w:t xml:space="preserve"> A</w:t>
    </w:r>
    <w:r w:rsidR="00AE2FFC">
      <w:rPr>
        <w:sz w:val="18"/>
      </w:rPr>
      <w:t>L 3</w:t>
    </w:r>
    <w:r w:rsidR="005009AD">
      <w:rPr>
        <w:sz w:val="18"/>
      </w:rPr>
      <w:t>0</w:t>
    </w:r>
    <w:r w:rsidR="00AE2FFC">
      <w:rPr>
        <w:sz w:val="18"/>
      </w:rPr>
      <w:t xml:space="preserve"> DE </w:t>
    </w:r>
    <w:r w:rsidR="00B51EC4">
      <w:rPr>
        <w:sz w:val="18"/>
      </w:rPr>
      <w:t>SEPTIEMBRE</w:t>
    </w:r>
    <w:r w:rsidR="00E42584">
      <w:rPr>
        <w:sz w:val="18"/>
      </w:rPr>
      <w:t xml:space="preserve"> DE 20</w:t>
    </w:r>
    <w:r w:rsidR="005009AD">
      <w:rPr>
        <w:sz w:val="18"/>
      </w:rPr>
      <w:t>20</w:t>
    </w:r>
    <w:r w:rsidR="00E42584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51B"/>
    <w:multiLevelType w:val="hybridMultilevel"/>
    <w:tmpl w:val="C01805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32EF4"/>
    <w:multiLevelType w:val="hybridMultilevel"/>
    <w:tmpl w:val="29A2984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63ED6"/>
    <w:multiLevelType w:val="hybridMultilevel"/>
    <w:tmpl w:val="A124589C"/>
    <w:lvl w:ilvl="0" w:tplc="B722235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A7FE602E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860DA0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0EA592E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9EDA9F90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03205F4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938CDC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FD5C75C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1F56966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3" w15:restartNumberingAfterBreak="0">
    <w:nsid w:val="10A66010"/>
    <w:multiLevelType w:val="hybridMultilevel"/>
    <w:tmpl w:val="00DA1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9142F"/>
    <w:multiLevelType w:val="hybridMultilevel"/>
    <w:tmpl w:val="F07C760C"/>
    <w:lvl w:ilvl="0" w:tplc="34EEFAB6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BC2C84C8">
      <w:start w:val="1"/>
      <w:numFmt w:val="bullet"/>
      <w:lvlText w:val="•"/>
      <w:lvlJc w:val="left"/>
      <w:pPr>
        <w:ind w:left="1502" w:hanging="396"/>
      </w:pPr>
      <w:rPr>
        <w:rFonts w:hint="default"/>
      </w:rPr>
    </w:lvl>
    <w:lvl w:ilvl="2" w:tplc="6080959A">
      <w:start w:val="1"/>
      <w:numFmt w:val="bullet"/>
      <w:lvlText w:val="•"/>
      <w:lvlJc w:val="left"/>
      <w:pPr>
        <w:ind w:left="2344" w:hanging="396"/>
      </w:pPr>
      <w:rPr>
        <w:rFonts w:hint="default"/>
      </w:rPr>
    </w:lvl>
    <w:lvl w:ilvl="3" w:tplc="9AF8986A">
      <w:start w:val="1"/>
      <w:numFmt w:val="bullet"/>
      <w:lvlText w:val="•"/>
      <w:lvlJc w:val="left"/>
      <w:pPr>
        <w:ind w:left="3186" w:hanging="396"/>
      </w:pPr>
      <w:rPr>
        <w:rFonts w:hint="default"/>
      </w:rPr>
    </w:lvl>
    <w:lvl w:ilvl="4" w:tplc="95E039B2">
      <w:start w:val="1"/>
      <w:numFmt w:val="bullet"/>
      <w:lvlText w:val="•"/>
      <w:lvlJc w:val="left"/>
      <w:pPr>
        <w:ind w:left="4028" w:hanging="396"/>
      </w:pPr>
      <w:rPr>
        <w:rFonts w:hint="default"/>
      </w:rPr>
    </w:lvl>
    <w:lvl w:ilvl="5" w:tplc="E36C4C9C">
      <w:start w:val="1"/>
      <w:numFmt w:val="bullet"/>
      <w:lvlText w:val="•"/>
      <w:lvlJc w:val="left"/>
      <w:pPr>
        <w:ind w:left="4870" w:hanging="396"/>
      </w:pPr>
      <w:rPr>
        <w:rFonts w:hint="default"/>
      </w:rPr>
    </w:lvl>
    <w:lvl w:ilvl="6" w:tplc="8CCCF578">
      <w:start w:val="1"/>
      <w:numFmt w:val="bullet"/>
      <w:lvlText w:val="•"/>
      <w:lvlJc w:val="left"/>
      <w:pPr>
        <w:ind w:left="5712" w:hanging="396"/>
      </w:pPr>
      <w:rPr>
        <w:rFonts w:hint="default"/>
      </w:rPr>
    </w:lvl>
    <w:lvl w:ilvl="7" w:tplc="9D6488F0">
      <w:start w:val="1"/>
      <w:numFmt w:val="bullet"/>
      <w:lvlText w:val="•"/>
      <w:lvlJc w:val="left"/>
      <w:pPr>
        <w:ind w:left="6554" w:hanging="396"/>
      </w:pPr>
      <w:rPr>
        <w:rFonts w:hint="default"/>
      </w:rPr>
    </w:lvl>
    <w:lvl w:ilvl="8" w:tplc="DE48E918">
      <w:start w:val="1"/>
      <w:numFmt w:val="bullet"/>
      <w:lvlText w:val="•"/>
      <w:lvlJc w:val="left"/>
      <w:pPr>
        <w:ind w:left="7396" w:hanging="396"/>
      </w:pPr>
      <w:rPr>
        <w:rFonts w:hint="default"/>
      </w:rPr>
    </w:lvl>
  </w:abstractNum>
  <w:abstractNum w:abstractNumId="5" w15:restartNumberingAfterBreak="0">
    <w:nsid w:val="28613FF5"/>
    <w:multiLevelType w:val="hybridMultilevel"/>
    <w:tmpl w:val="C2FCBE9A"/>
    <w:lvl w:ilvl="0" w:tplc="B9D4A5CE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5B621EB0">
      <w:start w:val="1"/>
      <w:numFmt w:val="bullet"/>
      <w:lvlText w:val="•"/>
      <w:lvlJc w:val="left"/>
      <w:pPr>
        <w:ind w:left="1500" w:hanging="396"/>
      </w:pPr>
      <w:rPr>
        <w:rFonts w:hint="default"/>
      </w:rPr>
    </w:lvl>
    <w:lvl w:ilvl="2" w:tplc="958CC81C">
      <w:start w:val="1"/>
      <w:numFmt w:val="bullet"/>
      <w:lvlText w:val="•"/>
      <w:lvlJc w:val="left"/>
      <w:pPr>
        <w:ind w:left="2340" w:hanging="396"/>
      </w:pPr>
      <w:rPr>
        <w:rFonts w:hint="default"/>
      </w:rPr>
    </w:lvl>
    <w:lvl w:ilvl="3" w:tplc="6CBCEF62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 w:tplc="064CFD64">
      <w:start w:val="1"/>
      <w:numFmt w:val="bullet"/>
      <w:lvlText w:val="•"/>
      <w:lvlJc w:val="left"/>
      <w:pPr>
        <w:ind w:left="4020" w:hanging="396"/>
      </w:pPr>
      <w:rPr>
        <w:rFonts w:hint="default"/>
      </w:rPr>
    </w:lvl>
    <w:lvl w:ilvl="5" w:tplc="B0AAE81C">
      <w:start w:val="1"/>
      <w:numFmt w:val="bullet"/>
      <w:lvlText w:val="•"/>
      <w:lvlJc w:val="left"/>
      <w:pPr>
        <w:ind w:left="4860" w:hanging="396"/>
      </w:pPr>
      <w:rPr>
        <w:rFonts w:hint="default"/>
      </w:rPr>
    </w:lvl>
    <w:lvl w:ilvl="6" w:tplc="35C417E8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7" w:tplc="9CBC4DB0">
      <w:start w:val="1"/>
      <w:numFmt w:val="bullet"/>
      <w:lvlText w:val="•"/>
      <w:lvlJc w:val="left"/>
      <w:pPr>
        <w:ind w:left="6540" w:hanging="396"/>
      </w:pPr>
      <w:rPr>
        <w:rFonts w:hint="default"/>
      </w:rPr>
    </w:lvl>
    <w:lvl w:ilvl="8" w:tplc="F2AC733C">
      <w:start w:val="1"/>
      <w:numFmt w:val="bullet"/>
      <w:lvlText w:val="•"/>
      <w:lvlJc w:val="left"/>
      <w:pPr>
        <w:ind w:left="7380" w:hanging="396"/>
      </w:pPr>
      <w:rPr>
        <w:rFonts w:hint="default"/>
      </w:rPr>
    </w:lvl>
  </w:abstractNum>
  <w:abstractNum w:abstractNumId="6" w15:restartNumberingAfterBreak="0">
    <w:nsid w:val="2BB1645D"/>
    <w:multiLevelType w:val="hybridMultilevel"/>
    <w:tmpl w:val="3D0665AA"/>
    <w:lvl w:ilvl="0" w:tplc="BBBCD344">
      <w:start w:val="1"/>
      <w:numFmt w:val="decimal"/>
      <w:lvlText w:val="%1)"/>
      <w:lvlJc w:val="left"/>
      <w:pPr>
        <w:ind w:left="474" w:hanging="211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7A440B7C">
      <w:start w:val="1"/>
      <w:numFmt w:val="lowerLetter"/>
      <w:lvlText w:val="%2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2" w:tplc="17A0B462">
      <w:start w:val="1"/>
      <w:numFmt w:val="bullet"/>
      <w:lvlText w:val="•"/>
      <w:lvlJc w:val="left"/>
      <w:pPr>
        <w:ind w:left="1593" w:hanging="396"/>
      </w:pPr>
      <w:rPr>
        <w:rFonts w:hint="default"/>
      </w:rPr>
    </w:lvl>
    <w:lvl w:ilvl="3" w:tplc="95C2B508">
      <w:start w:val="1"/>
      <w:numFmt w:val="bullet"/>
      <w:lvlText w:val="•"/>
      <w:lvlJc w:val="left"/>
      <w:pPr>
        <w:ind w:left="2526" w:hanging="396"/>
      </w:pPr>
      <w:rPr>
        <w:rFonts w:hint="default"/>
      </w:rPr>
    </w:lvl>
    <w:lvl w:ilvl="4" w:tplc="7E786504">
      <w:start w:val="1"/>
      <w:numFmt w:val="bullet"/>
      <w:lvlText w:val="•"/>
      <w:lvlJc w:val="left"/>
      <w:pPr>
        <w:ind w:left="3460" w:hanging="396"/>
      </w:pPr>
      <w:rPr>
        <w:rFonts w:hint="default"/>
      </w:rPr>
    </w:lvl>
    <w:lvl w:ilvl="5" w:tplc="C6FE982A">
      <w:start w:val="1"/>
      <w:numFmt w:val="bullet"/>
      <w:lvlText w:val="•"/>
      <w:lvlJc w:val="left"/>
      <w:pPr>
        <w:ind w:left="4393" w:hanging="396"/>
      </w:pPr>
      <w:rPr>
        <w:rFonts w:hint="default"/>
      </w:rPr>
    </w:lvl>
    <w:lvl w:ilvl="6" w:tplc="0978A0B2">
      <w:start w:val="1"/>
      <w:numFmt w:val="bullet"/>
      <w:lvlText w:val="•"/>
      <w:lvlJc w:val="left"/>
      <w:pPr>
        <w:ind w:left="5326" w:hanging="396"/>
      </w:pPr>
      <w:rPr>
        <w:rFonts w:hint="default"/>
      </w:rPr>
    </w:lvl>
    <w:lvl w:ilvl="7" w:tplc="676AD212">
      <w:start w:val="1"/>
      <w:numFmt w:val="bullet"/>
      <w:lvlText w:val="•"/>
      <w:lvlJc w:val="left"/>
      <w:pPr>
        <w:ind w:left="6260" w:hanging="396"/>
      </w:pPr>
      <w:rPr>
        <w:rFonts w:hint="default"/>
      </w:rPr>
    </w:lvl>
    <w:lvl w:ilvl="8" w:tplc="AD645C68">
      <w:start w:val="1"/>
      <w:numFmt w:val="bullet"/>
      <w:lvlText w:val="•"/>
      <w:lvlJc w:val="left"/>
      <w:pPr>
        <w:ind w:left="7193" w:hanging="396"/>
      </w:pPr>
      <w:rPr>
        <w:rFonts w:hint="default"/>
      </w:rPr>
    </w:lvl>
  </w:abstractNum>
  <w:abstractNum w:abstractNumId="7" w15:restartNumberingAfterBreak="0">
    <w:nsid w:val="35A70D0C"/>
    <w:multiLevelType w:val="hybridMultilevel"/>
    <w:tmpl w:val="8F2052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13651"/>
    <w:multiLevelType w:val="hybridMultilevel"/>
    <w:tmpl w:val="0D6AF9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23D2"/>
    <w:multiLevelType w:val="hybridMultilevel"/>
    <w:tmpl w:val="BF7473C2"/>
    <w:lvl w:ilvl="0" w:tplc="45763E9C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761203F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226621E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154C65C6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E432D31E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D3F2A97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BD0E3BD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19C4ECF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93E89178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0" w15:restartNumberingAfterBreak="0">
    <w:nsid w:val="40900980"/>
    <w:multiLevelType w:val="hybridMultilevel"/>
    <w:tmpl w:val="0BCE3416"/>
    <w:lvl w:ilvl="0" w:tplc="829C30B6">
      <w:start w:val="1"/>
      <w:numFmt w:val="lowerLetter"/>
      <w:lvlText w:val="%1."/>
      <w:lvlJc w:val="left"/>
      <w:pPr>
        <w:ind w:left="519" w:hanging="396"/>
      </w:pPr>
      <w:rPr>
        <w:rFonts w:ascii="Arial" w:eastAsia="Calibri" w:hAnsi="Arial" w:cs="Times New Roman"/>
        <w:w w:val="100"/>
        <w:sz w:val="18"/>
        <w:szCs w:val="18"/>
      </w:rPr>
    </w:lvl>
    <w:lvl w:ilvl="1" w:tplc="EE2EFE5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54F6BCA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BF28F0C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623AD64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85FC8E9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430A03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EFCAD59C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55E82C56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1" w15:restartNumberingAfterBreak="0">
    <w:nsid w:val="47670759"/>
    <w:multiLevelType w:val="hybridMultilevel"/>
    <w:tmpl w:val="12B87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B356C"/>
    <w:multiLevelType w:val="hybridMultilevel"/>
    <w:tmpl w:val="89CA8950"/>
    <w:lvl w:ilvl="0" w:tplc="547EFC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8455D7C"/>
    <w:multiLevelType w:val="hybridMultilevel"/>
    <w:tmpl w:val="2C7E3B5E"/>
    <w:lvl w:ilvl="0" w:tplc="FC40C26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09F08F3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F14105C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2DE584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17AA54C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722EC8BA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1BA28DDC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D6FC323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D6FAF57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5" w15:restartNumberingAfterBreak="0">
    <w:nsid w:val="6A3D0636"/>
    <w:multiLevelType w:val="hybridMultilevel"/>
    <w:tmpl w:val="D41A8F80"/>
    <w:lvl w:ilvl="0" w:tplc="AE2EA936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EDB84D3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6EB2022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FFED3F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41F48A76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6C462CF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5F105D3A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0EA08F0E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A726FB7C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6" w15:restartNumberingAfterBreak="0">
    <w:nsid w:val="6F6D6A97"/>
    <w:multiLevelType w:val="hybridMultilevel"/>
    <w:tmpl w:val="EDA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5ED0"/>
    <w:multiLevelType w:val="hybridMultilevel"/>
    <w:tmpl w:val="14D214EA"/>
    <w:lvl w:ilvl="0" w:tplc="EEE45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A68"/>
    <w:multiLevelType w:val="hybridMultilevel"/>
    <w:tmpl w:val="6B4810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E40"/>
    <w:multiLevelType w:val="hybridMultilevel"/>
    <w:tmpl w:val="D1DECA2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19"/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3"/>
  </w:num>
  <w:num w:numId="18">
    <w:abstractNumId w:val="8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01AD6"/>
    <w:rsid w:val="00002014"/>
    <w:rsid w:val="000200EF"/>
    <w:rsid w:val="00023A12"/>
    <w:rsid w:val="000312AE"/>
    <w:rsid w:val="00036B25"/>
    <w:rsid w:val="00040D4F"/>
    <w:rsid w:val="00045B7A"/>
    <w:rsid w:val="00084EAE"/>
    <w:rsid w:val="0008579F"/>
    <w:rsid w:val="00091CE6"/>
    <w:rsid w:val="00096F92"/>
    <w:rsid w:val="000B5039"/>
    <w:rsid w:val="000B7810"/>
    <w:rsid w:val="000C0339"/>
    <w:rsid w:val="000C3365"/>
    <w:rsid w:val="000D1121"/>
    <w:rsid w:val="000E3580"/>
    <w:rsid w:val="000F3DAD"/>
    <w:rsid w:val="001055A5"/>
    <w:rsid w:val="001106E8"/>
    <w:rsid w:val="0012405A"/>
    <w:rsid w:val="0012558B"/>
    <w:rsid w:val="00154BA3"/>
    <w:rsid w:val="001660D1"/>
    <w:rsid w:val="001973A2"/>
    <w:rsid w:val="001A0C11"/>
    <w:rsid w:val="001A3055"/>
    <w:rsid w:val="001C75F2"/>
    <w:rsid w:val="001D2063"/>
    <w:rsid w:val="001D41D6"/>
    <w:rsid w:val="001D43E9"/>
    <w:rsid w:val="0021795B"/>
    <w:rsid w:val="00251AE5"/>
    <w:rsid w:val="00265961"/>
    <w:rsid w:val="00273986"/>
    <w:rsid w:val="00274C6F"/>
    <w:rsid w:val="002951C4"/>
    <w:rsid w:val="002B5132"/>
    <w:rsid w:val="00310402"/>
    <w:rsid w:val="00332702"/>
    <w:rsid w:val="003453CA"/>
    <w:rsid w:val="003728A3"/>
    <w:rsid w:val="00374D63"/>
    <w:rsid w:val="003C23C3"/>
    <w:rsid w:val="003E0B7A"/>
    <w:rsid w:val="00401CAE"/>
    <w:rsid w:val="00416254"/>
    <w:rsid w:val="00435A87"/>
    <w:rsid w:val="00456D16"/>
    <w:rsid w:val="00473CD4"/>
    <w:rsid w:val="00496632"/>
    <w:rsid w:val="004A58C8"/>
    <w:rsid w:val="004D0840"/>
    <w:rsid w:val="004D3B96"/>
    <w:rsid w:val="004F0DC9"/>
    <w:rsid w:val="004F0F8F"/>
    <w:rsid w:val="004F1E22"/>
    <w:rsid w:val="004F6C70"/>
    <w:rsid w:val="005009AD"/>
    <w:rsid w:val="005171C5"/>
    <w:rsid w:val="00527383"/>
    <w:rsid w:val="00537F42"/>
    <w:rsid w:val="0054701E"/>
    <w:rsid w:val="0057209A"/>
    <w:rsid w:val="00575E80"/>
    <w:rsid w:val="00576EB2"/>
    <w:rsid w:val="005D3E43"/>
    <w:rsid w:val="005D7FF8"/>
    <w:rsid w:val="005E0100"/>
    <w:rsid w:val="005E231E"/>
    <w:rsid w:val="005E4C0C"/>
    <w:rsid w:val="0060203D"/>
    <w:rsid w:val="00657009"/>
    <w:rsid w:val="00665501"/>
    <w:rsid w:val="00671F19"/>
    <w:rsid w:val="00677479"/>
    <w:rsid w:val="00681C79"/>
    <w:rsid w:val="00690768"/>
    <w:rsid w:val="00691371"/>
    <w:rsid w:val="006942FE"/>
    <w:rsid w:val="006A0B59"/>
    <w:rsid w:val="006B16E4"/>
    <w:rsid w:val="006D212E"/>
    <w:rsid w:val="006D3D34"/>
    <w:rsid w:val="006E2E8B"/>
    <w:rsid w:val="006F7102"/>
    <w:rsid w:val="00707F8B"/>
    <w:rsid w:val="007213ED"/>
    <w:rsid w:val="007260AC"/>
    <w:rsid w:val="00732D26"/>
    <w:rsid w:val="00757D79"/>
    <w:rsid w:val="007610BC"/>
    <w:rsid w:val="007714AB"/>
    <w:rsid w:val="00774462"/>
    <w:rsid w:val="0078740D"/>
    <w:rsid w:val="007A791A"/>
    <w:rsid w:val="007D1B8B"/>
    <w:rsid w:val="007D1E76"/>
    <w:rsid w:val="007D4484"/>
    <w:rsid w:val="008621DF"/>
    <w:rsid w:val="0086459F"/>
    <w:rsid w:val="008A5542"/>
    <w:rsid w:val="008B2BB9"/>
    <w:rsid w:val="008B3C19"/>
    <w:rsid w:val="008C3BB8"/>
    <w:rsid w:val="008C6A69"/>
    <w:rsid w:val="008E076C"/>
    <w:rsid w:val="00917393"/>
    <w:rsid w:val="00925FDF"/>
    <w:rsid w:val="0092765C"/>
    <w:rsid w:val="00951D02"/>
    <w:rsid w:val="0095437F"/>
    <w:rsid w:val="00960E31"/>
    <w:rsid w:val="00984D0B"/>
    <w:rsid w:val="009C6BFB"/>
    <w:rsid w:val="009E2DD8"/>
    <w:rsid w:val="00A4610E"/>
    <w:rsid w:val="00A64466"/>
    <w:rsid w:val="00A730E0"/>
    <w:rsid w:val="00A913B5"/>
    <w:rsid w:val="00A918AD"/>
    <w:rsid w:val="00AA41E5"/>
    <w:rsid w:val="00AA5671"/>
    <w:rsid w:val="00AA7461"/>
    <w:rsid w:val="00AB722B"/>
    <w:rsid w:val="00AE1F6A"/>
    <w:rsid w:val="00AE2FFC"/>
    <w:rsid w:val="00B215DD"/>
    <w:rsid w:val="00B27A82"/>
    <w:rsid w:val="00B33697"/>
    <w:rsid w:val="00B372CB"/>
    <w:rsid w:val="00B502D0"/>
    <w:rsid w:val="00B51EC4"/>
    <w:rsid w:val="00B662F7"/>
    <w:rsid w:val="00B71EB7"/>
    <w:rsid w:val="00BC2675"/>
    <w:rsid w:val="00BF37A3"/>
    <w:rsid w:val="00C21DCD"/>
    <w:rsid w:val="00C75666"/>
    <w:rsid w:val="00C81695"/>
    <w:rsid w:val="00C97E1E"/>
    <w:rsid w:val="00CB41C4"/>
    <w:rsid w:val="00CB564E"/>
    <w:rsid w:val="00CC1EDC"/>
    <w:rsid w:val="00CD7571"/>
    <w:rsid w:val="00CF1316"/>
    <w:rsid w:val="00D01DBE"/>
    <w:rsid w:val="00D13C44"/>
    <w:rsid w:val="00D16447"/>
    <w:rsid w:val="00D16BB3"/>
    <w:rsid w:val="00D26277"/>
    <w:rsid w:val="00D50D90"/>
    <w:rsid w:val="00D800D1"/>
    <w:rsid w:val="00D85EC9"/>
    <w:rsid w:val="00D975B1"/>
    <w:rsid w:val="00DA4858"/>
    <w:rsid w:val="00DB0765"/>
    <w:rsid w:val="00DC7448"/>
    <w:rsid w:val="00DF6446"/>
    <w:rsid w:val="00E00323"/>
    <w:rsid w:val="00E04DA4"/>
    <w:rsid w:val="00E42584"/>
    <w:rsid w:val="00E74967"/>
    <w:rsid w:val="00EA37F5"/>
    <w:rsid w:val="00EA552A"/>
    <w:rsid w:val="00EA5B4A"/>
    <w:rsid w:val="00EA7915"/>
    <w:rsid w:val="00EB0705"/>
    <w:rsid w:val="00EC4EF2"/>
    <w:rsid w:val="00F252FB"/>
    <w:rsid w:val="00F46719"/>
    <w:rsid w:val="00F54F6F"/>
    <w:rsid w:val="00F65012"/>
    <w:rsid w:val="00F74270"/>
    <w:rsid w:val="00F815C6"/>
    <w:rsid w:val="00F84413"/>
    <w:rsid w:val="00FA6609"/>
    <w:rsid w:val="00FB63F6"/>
    <w:rsid w:val="00FC0C95"/>
    <w:rsid w:val="00FD11EA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61DBEE-4D9D-449F-9186-6ECA7899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ítulo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AA41E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0C3365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F46719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D3D34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6D3D34"/>
    <w:pPr>
      <w:widowControl w:val="0"/>
      <w:spacing w:before="101" w:after="0" w:line="240" w:lineRule="auto"/>
      <w:ind w:left="519" w:hanging="396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6D3D34"/>
    <w:rPr>
      <w:rFonts w:ascii="Arial" w:eastAsia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AppData\acorona\lquiroz\AppData\Local\Microsoft\Windows\Temporary%20Internet%20Files\Content.Outlook\HBGSO9P3\MODELO%20CTA%202013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C1CBB-E957-4140-98A2-ED1EA3475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BBD03-6B3B-4AD5-83D5-E6859F4C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4417</Words>
  <Characters>24295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28655</CharactersWithSpaces>
  <SharedDoc>false</SharedDoc>
  <HLinks>
    <vt:vector size="24" baseType="variant"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../../../../../../../../AppData/acorona/lquiroz/AppData/Local/Microsoft/Windows/Temporary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Estefania</cp:lastModifiedBy>
  <cp:revision>2</cp:revision>
  <dcterms:created xsi:type="dcterms:W3CDTF">2020-10-23T15:34:00Z</dcterms:created>
  <dcterms:modified xsi:type="dcterms:W3CDTF">2020-10-23T15:34:00Z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