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C515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37DD7F92" w:rsidR="007D1E76" w:rsidRPr="00E74967" w:rsidRDefault="009019D9" w:rsidP="00CB41C4">
      <w:pPr>
        <w:tabs>
          <w:tab w:val="left" w:leader="underscore" w:pos="9639"/>
        </w:tabs>
        <w:spacing w:after="0" w:line="240" w:lineRule="auto"/>
        <w:jc w:val="both"/>
        <w:rPr>
          <w:rFonts w:cs="Calibri"/>
        </w:rPr>
      </w:pPr>
      <w:r>
        <w:rPr>
          <w:rFonts w:cs="Calibri"/>
        </w:rPr>
        <w:t xml:space="preserve"> </w:t>
      </w: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C515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C515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C515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C515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C515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C515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C515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C515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C515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C515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C515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C515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C515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C515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C515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C515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7509E6A6" w14:textId="77777777" w:rsidR="00D02C94" w:rsidRPr="00D02C94" w:rsidRDefault="00D02C94" w:rsidP="00D02C94">
      <w:pPr>
        <w:autoSpaceDE w:val="0"/>
        <w:autoSpaceDN w:val="0"/>
        <w:adjustRightInd w:val="0"/>
        <w:spacing w:line="360" w:lineRule="auto"/>
        <w:jc w:val="both"/>
        <w:rPr>
          <w:rFonts w:ascii="Arial" w:hAnsi="Arial" w:cs="Arial"/>
          <w:sz w:val="20"/>
          <w:szCs w:val="20"/>
          <w:u w:val="single"/>
        </w:rPr>
      </w:pPr>
      <w:r w:rsidRPr="00D02C94">
        <w:rPr>
          <w:rFonts w:ascii="Arial" w:hAnsi="Arial" w:cs="Arial"/>
          <w:sz w:val="20"/>
          <w:szCs w:val="20"/>
          <w:u w:val="single"/>
        </w:rPr>
        <w:t>Entorno internacional Durante 2018, la economía global continuó expandiéndose. No obstante, a partir del tercer trimestre, se comenzaron a observar señales de moderación en el crecimiento global derivadas de las tensiones comerciales y geopolíticas, la normalización de la política monetaria en economías avanzadas que afectó los flujos de capital a economías emergentes, y un menor dinamismo de la economía de China. En línea con lo anterior, el Fondo Monetario Internacional (FMI), en su actualización de enero del reporte de Perspectivas de la Economía Mundial, revisó a la baja sus proyecciones de crecimiento de la economía mundial para 2019 de 3.7 a 3.5% y de 3.7 a 3.6% para 2020. En este contexto, en 2018 se observó una elevada incertidumbre y una mayor astringencia de las condiciones financieras, por lo que los mercados financieros estuvieron caracterizados por una alta aversión al riesgo que generaron una elevada volatilidad de las variables financieras. No obstante, se ha mostrado una menor volatilidad en 2019 debido a la expectativa de un menor ritmo en los ajustes a la política monetaria de economías avanzadas, como consecuencia de señales más claras de una desaceleración del crecimiento global. Por su parte, los precios internacionales del petróleo exhibieron una tendencia creciente durante los primeros tres trimestres del 2018 y una caída pronunciada en el cuarto trimestre. A esto último contribuyó un exceso de oferta en el mercado por los elevados niveles de producción. En 2019, los acuerdos alcanzados en la Organización de Países Exportadores de Petróleo (OPEP) para reducir la producción, entre otros factores, han permitido una recuperación del precio del petróleo, aunque esta ha sido moderada por las expectativas de una menor actividad económica mundial.</w:t>
      </w:r>
    </w:p>
    <w:p w14:paraId="17E25688" w14:textId="77777777" w:rsidR="00D02C94" w:rsidRPr="00D02C94" w:rsidRDefault="00D02C94" w:rsidP="00D02C94">
      <w:pPr>
        <w:autoSpaceDE w:val="0"/>
        <w:autoSpaceDN w:val="0"/>
        <w:adjustRightInd w:val="0"/>
        <w:spacing w:line="360" w:lineRule="auto"/>
        <w:jc w:val="both"/>
        <w:rPr>
          <w:rFonts w:ascii="Arial" w:hAnsi="Arial" w:cs="Arial"/>
          <w:sz w:val="20"/>
          <w:szCs w:val="20"/>
          <w:u w:val="single"/>
        </w:rPr>
      </w:pPr>
      <w:r w:rsidRPr="00D02C94">
        <w:rPr>
          <w:rFonts w:ascii="Arial" w:hAnsi="Arial" w:cs="Arial"/>
          <w:sz w:val="20"/>
          <w:szCs w:val="20"/>
          <w:u w:val="single"/>
        </w:rPr>
        <w:t>En este contexto, en enero de 2019 el FMI revisó a la baja su estimación de crecimiento para las economías avanzadas en 2019 de 2.1 a 2.0% y mantuvo en 1.7% su proyección de crecimiento para 2020.</w:t>
      </w:r>
    </w:p>
    <w:p w14:paraId="611E6C5B" w14:textId="77777777" w:rsidR="00D02C94" w:rsidRPr="00D02C94" w:rsidRDefault="00D02C94" w:rsidP="00D02C94">
      <w:pPr>
        <w:rPr>
          <w:rFonts w:ascii="Arial" w:hAnsi="Arial" w:cs="Arial"/>
          <w:sz w:val="20"/>
          <w:szCs w:val="20"/>
          <w:u w:val="single"/>
        </w:rPr>
      </w:pPr>
    </w:p>
    <w:p w14:paraId="672FCDCD" w14:textId="77777777" w:rsidR="00D02C94" w:rsidRPr="00D02C94" w:rsidRDefault="00AC515A" w:rsidP="00D02C94">
      <w:pPr>
        <w:rPr>
          <w:rFonts w:ascii="Arial" w:hAnsi="Arial" w:cs="Arial"/>
          <w:sz w:val="20"/>
          <w:szCs w:val="20"/>
        </w:rPr>
      </w:pPr>
      <w:hyperlink r:id="rId12" w:history="1">
        <w:r w:rsidR="00D02C94" w:rsidRPr="00D02C94">
          <w:rPr>
            <w:rFonts w:ascii="Arial" w:hAnsi="Arial" w:cs="Arial"/>
            <w:sz w:val="20"/>
            <w:szCs w:val="20"/>
          </w:rPr>
          <w:t>https://www.finanzaspublicas.hacienda.gob.mx/work/models/Finanzas_Publicas/docs/paquete_economico/precgpe/precgpe_2020.pdf</w:t>
        </w:r>
      </w:hyperlink>
    </w:p>
    <w:p w14:paraId="68F7B012" w14:textId="77777777" w:rsidR="00D02C94" w:rsidRDefault="00D02C94" w:rsidP="00D02C94">
      <w:pPr>
        <w:spacing w:line="360" w:lineRule="auto"/>
        <w:jc w:val="both"/>
        <w:rPr>
          <w:rFonts w:ascii="Arial" w:hAnsi="Arial" w:cs="Arial"/>
          <w:sz w:val="20"/>
          <w:szCs w:val="20"/>
          <w:u w:val="single"/>
        </w:rPr>
      </w:pPr>
    </w:p>
    <w:p w14:paraId="684CF0A9" w14:textId="77777777" w:rsidR="00D02C94" w:rsidRPr="00D02C94" w:rsidRDefault="00D02C94" w:rsidP="00D02C94">
      <w:pPr>
        <w:spacing w:line="360" w:lineRule="auto"/>
        <w:jc w:val="both"/>
        <w:rPr>
          <w:rFonts w:ascii="Arial" w:hAnsi="Arial" w:cs="Arial"/>
          <w:sz w:val="20"/>
          <w:szCs w:val="20"/>
          <w:u w:val="single"/>
        </w:rPr>
      </w:pPr>
      <w:r w:rsidRPr="00D02C94">
        <w:rPr>
          <w:rFonts w:ascii="Arial" w:hAnsi="Arial" w:cs="Arial"/>
          <w:sz w:val="20"/>
          <w:szCs w:val="20"/>
          <w:u w:val="single"/>
        </w:rPr>
        <w:t>Más sin embargo el Organismo Operador en el momento de la elaboración y proyección del presupuesto 2020 está ubicada en números negros y sin pasivos que no puedan solventarse de manera inmediata, por lo que actualmente no se cuenta con Deuda.</w:t>
      </w:r>
    </w:p>
    <w:p w14:paraId="6A19F4D4" w14:textId="77777777" w:rsidR="00D02C94" w:rsidRPr="00D02C94" w:rsidRDefault="00D02C94" w:rsidP="00D02C94">
      <w:pPr>
        <w:spacing w:line="360" w:lineRule="auto"/>
        <w:jc w:val="both"/>
        <w:rPr>
          <w:rFonts w:ascii="Arial" w:hAnsi="Arial" w:cs="Arial"/>
          <w:sz w:val="20"/>
          <w:szCs w:val="20"/>
          <w:u w:val="single"/>
        </w:rPr>
      </w:pPr>
      <w:r w:rsidRPr="00D02C94">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21FEC7D2" w14:textId="77777777" w:rsidR="00D02C94" w:rsidRPr="00D02C94" w:rsidRDefault="00D02C94" w:rsidP="00D02C94">
      <w:pPr>
        <w:autoSpaceDE w:val="0"/>
        <w:autoSpaceDN w:val="0"/>
        <w:adjustRightInd w:val="0"/>
        <w:spacing w:line="360" w:lineRule="auto"/>
        <w:jc w:val="both"/>
        <w:rPr>
          <w:rFonts w:ascii="Arial" w:hAnsi="Arial" w:cs="Arial"/>
          <w:sz w:val="20"/>
          <w:szCs w:val="20"/>
          <w:u w:val="single"/>
        </w:rPr>
      </w:pPr>
      <w:r w:rsidRPr="00D02C94">
        <w:rPr>
          <w:rFonts w:ascii="Arial" w:hAnsi="Arial" w:cs="Arial"/>
          <w:sz w:val="20"/>
          <w:szCs w:val="20"/>
          <w:u w:val="single"/>
        </w:rPr>
        <w:t>La presente Proyección de Presupuesto de Egresos establece contribuciones ajustadas a la realidad económica del País con incrementos de un 4 % en la mayoría de los rubros Gastos considerando el índice inflacionario, así como en el Rubro de Servicios Personales se consideró incremento general del 4% a sueldo.</w:t>
      </w:r>
    </w:p>
    <w:p w14:paraId="31A742DE" w14:textId="4A7B3E17" w:rsidR="00A84D75" w:rsidRPr="00D02C94" w:rsidRDefault="00A84D75" w:rsidP="00A84D75">
      <w:pPr>
        <w:autoSpaceDE w:val="0"/>
        <w:autoSpaceDN w:val="0"/>
        <w:adjustRightInd w:val="0"/>
        <w:spacing w:line="360" w:lineRule="auto"/>
        <w:jc w:val="both"/>
        <w:rPr>
          <w:rFonts w:ascii="Arial" w:hAnsi="Arial" w:cs="Arial"/>
          <w:sz w:val="20"/>
          <w:szCs w:val="20"/>
          <w:u w:val="single"/>
          <w:lang w:val="es-ES"/>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3"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B25852" w:rsidRPr="00E056CB" w14:paraId="6B73AD97" w14:textId="54083ED8" w:rsidTr="00B25852">
        <w:trPr>
          <w:gridAfter w:val="3"/>
          <w:wAfter w:w="3204" w:type="dxa"/>
          <w:trHeight w:val="59"/>
        </w:trPr>
        <w:tc>
          <w:tcPr>
            <w:tcW w:w="1348" w:type="dxa"/>
          </w:tcPr>
          <w:p w14:paraId="25F3E205" w14:textId="77777777" w:rsidR="00B25852" w:rsidRPr="00E056CB" w:rsidRDefault="00B25852"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B25852" w:rsidRPr="00E056CB" w:rsidRDefault="00B25852"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B25852" w:rsidRPr="00E056CB" w:rsidRDefault="00B25852" w:rsidP="00436C88">
            <w:pPr>
              <w:spacing w:after="0" w:line="240" w:lineRule="auto"/>
              <w:jc w:val="right"/>
            </w:pPr>
            <w:r>
              <w:rPr>
                <w:rFonts w:ascii="Arial" w:hAnsi="Arial" w:cs="Arial"/>
                <w:b/>
                <w:sz w:val="16"/>
                <w:szCs w:val="10"/>
              </w:rPr>
              <w:t>2018</w:t>
            </w:r>
          </w:p>
        </w:tc>
        <w:tc>
          <w:tcPr>
            <w:tcW w:w="1348" w:type="dxa"/>
            <w:gridSpan w:val="2"/>
          </w:tcPr>
          <w:p w14:paraId="62314FFD" w14:textId="0FDB6B70" w:rsidR="00B25852" w:rsidRPr="00E056CB" w:rsidRDefault="00B25852" w:rsidP="00A84D75">
            <w:pPr>
              <w:spacing w:after="0" w:line="240" w:lineRule="auto"/>
              <w:jc w:val="right"/>
            </w:pPr>
            <w:r>
              <w:rPr>
                <w:rFonts w:ascii="Arial" w:hAnsi="Arial" w:cs="Arial"/>
                <w:b/>
                <w:sz w:val="16"/>
                <w:szCs w:val="10"/>
              </w:rPr>
              <w:t>2019</w:t>
            </w:r>
          </w:p>
        </w:tc>
        <w:tc>
          <w:tcPr>
            <w:tcW w:w="1348" w:type="dxa"/>
            <w:gridSpan w:val="2"/>
          </w:tcPr>
          <w:p w14:paraId="5B5FB790" w14:textId="5E2433A0" w:rsidR="00B25852" w:rsidRPr="00E056CB" w:rsidRDefault="00B25852" w:rsidP="00B25852">
            <w:pPr>
              <w:spacing w:after="0" w:line="240" w:lineRule="auto"/>
              <w:jc w:val="both"/>
            </w:pPr>
            <w:r>
              <w:rPr>
                <w:rFonts w:ascii="Arial" w:hAnsi="Arial" w:cs="Arial"/>
                <w:b/>
                <w:sz w:val="16"/>
                <w:szCs w:val="10"/>
              </w:rPr>
              <w:t xml:space="preserve">                 2020</w:t>
            </w:r>
          </w:p>
        </w:tc>
      </w:tr>
      <w:tr w:rsidR="00B25852" w:rsidRPr="00E056CB" w14:paraId="567B3D71" w14:textId="06B111BF" w:rsidTr="00B25852">
        <w:trPr>
          <w:gridAfter w:val="3"/>
          <w:wAfter w:w="3204" w:type="dxa"/>
          <w:trHeight w:val="710"/>
        </w:trPr>
        <w:tc>
          <w:tcPr>
            <w:tcW w:w="1348" w:type="dxa"/>
          </w:tcPr>
          <w:p w14:paraId="4FD76873"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B25852" w:rsidRPr="00E056CB" w:rsidRDefault="00B25852"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B25852" w:rsidRPr="00E056CB" w:rsidRDefault="00B25852"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B25852" w:rsidRDefault="00B25852">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3AEE873" w14:textId="32842BA7" w:rsidR="00B25852" w:rsidRPr="00E056CB" w:rsidRDefault="00B25852">
            <w:pPr>
              <w:spacing w:after="0" w:line="240" w:lineRule="auto"/>
            </w:pPr>
            <w:r>
              <w:rPr>
                <w:rFonts w:ascii="Arial" w:hAnsi="Arial" w:cs="Arial"/>
                <w:color w:val="000000"/>
                <w:sz w:val="10"/>
                <w:szCs w:val="10"/>
              </w:rPr>
              <w:t>1 CONTRALORIA INTERNA</w:t>
            </w:r>
          </w:p>
        </w:tc>
        <w:tc>
          <w:tcPr>
            <w:tcW w:w="1348" w:type="dxa"/>
            <w:gridSpan w:val="2"/>
          </w:tcPr>
          <w:p w14:paraId="6148ADF1" w14:textId="77777777" w:rsidR="00B25852" w:rsidRPr="00494586" w:rsidRDefault="00B25852"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45D4F6" w14:textId="77777777" w:rsidR="00B25852" w:rsidRPr="00494586" w:rsidRDefault="00B25852"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5E07B61C" w14:textId="77777777" w:rsidR="00B25852" w:rsidRPr="00494586" w:rsidRDefault="00B25852"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8E23AB8" w14:textId="77777777" w:rsidR="00B25852" w:rsidRDefault="00B25852" w:rsidP="00C043A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0106D95" w14:textId="49F389EC" w:rsidR="00B25852" w:rsidRPr="00E056CB" w:rsidRDefault="00B25852">
            <w:pPr>
              <w:spacing w:after="0" w:line="240" w:lineRule="auto"/>
            </w:pPr>
            <w:r>
              <w:rPr>
                <w:rFonts w:ascii="Arial" w:hAnsi="Arial" w:cs="Arial"/>
                <w:color w:val="000000"/>
                <w:sz w:val="10"/>
                <w:szCs w:val="10"/>
              </w:rPr>
              <w:t>1 CONTRALORIA INTERNA</w:t>
            </w:r>
          </w:p>
        </w:tc>
        <w:tc>
          <w:tcPr>
            <w:tcW w:w="1348" w:type="dxa"/>
            <w:gridSpan w:val="2"/>
          </w:tcPr>
          <w:p w14:paraId="43E4D5FA" w14:textId="77777777" w:rsidR="00B25852" w:rsidRPr="00494586" w:rsidRDefault="00B25852" w:rsidP="00B25852">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F1BED9" w14:textId="77777777" w:rsidR="00B25852" w:rsidRPr="00494586" w:rsidRDefault="00B25852" w:rsidP="00B25852">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1335B4F" w14:textId="77777777" w:rsidR="00B25852" w:rsidRPr="00494586" w:rsidRDefault="00B25852" w:rsidP="00B25852">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4A429C52" w14:textId="77777777" w:rsidR="00B25852" w:rsidRDefault="00B25852" w:rsidP="00B25852">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520278E5" w14:textId="7873DF96" w:rsidR="00B25852" w:rsidRPr="00E056CB" w:rsidRDefault="00B25852">
            <w:pPr>
              <w:spacing w:after="0" w:line="240" w:lineRule="auto"/>
            </w:pPr>
            <w:r>
              <w:rPr>
                <w:rFonts w:ascii="Arial" w:hAnsi="Arial" w:cs="Arial"/>
                <w:color w:val="000000"/>
                <w:sz w:val="10"/>
                <w:szCs w:val="10"/>
              </w:rPr>
              <w:t>1 CONTRALORIA INTERNA</w:t>
            </w:r>
          </w:p>
        </w:tc>
      </w:tr>
    </w:tbl>
    <w:p w14:paraId="2DDD6455" w14:textId="77777777" w:rsidR="00B25852" w:rsidRDefault="00B25852"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08E1C7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25852">
        <w:rPr>
          <w:rFonts w:cs="Calibri"/>
        </w:rPr>
        <w:t>jemplo: enero a diciembre de 2020</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1D524C0F"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w:t>
      </w:r>
      <w:r w:rsidR="00B25852">
        <w:rPr>
          <w:rFonts w:ascii="Arial" w:hAnsi="Arial" w:cs="Arial"/>
          <w:sz w:val="20"/>
          <w:szCs w:val="20"/>
          <w:u w:val="single"/>
        </w:rPr>
        <w:t>20</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 sobre Nominas,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3C0BA3" w:rsidRDefault="007D1E76" w:rsidP="00CB41C4">
      <w:pPr>
        <w:tabs>
          <w:tab w:val="left" w:leader="underscore" w:pos="9639"/>
        </w:tabs>
        <w:spacing w:after="0" w:line="240" w:lineRule="auto"/>
        <w:jc w:val="both"/>
        <w:rPr>
          <w:rFonts w:cs="Calibri"/>
        </w:rPr>
      </w:pPr>
    </w:p>
    <w:p w14:paraId="6EB77A6D"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3C0BA3">
        <w:rPr>
          <w:rFonts w:cs="Calibri"/>
        </w:rPr>
        <w:t>*Anexar organigrama de la entidad.</w:t>
      </w:r>
    </w:p>
    <w:p w14:paraId="6A8374A1" w14:textId="77777777" w:rsidR="003C0BA3" w:rsidRPr="003C0BA3" w:rsidRDefault="003C0BA3" w:rsidP="00CB41C4">
      <w:pPr>
        <w:tabs>
          <w:tab w:val="left" w:leader="underscore" w:pos="9639"/>
        </w:tabs>
        <w:spacing w:after="0" w:line="240" w:lineRule="auto"/>
        <w:ind w:firstLine="708"/>
        <w:jc w:val="both"/>
        <w:rPr>
          <w:rFonts w:cs="Calibri"/>
        </w:rPr>
      </w:pPr>
    </w:p>
    <w:p w14:paraId="3450C629" w14:textId="3688FBB3" w:rsidR="007D1E76" w:rsidRPr="003C0BA3" w:rsidRDefault="007D1E76" w:rsidP="00CB41C4">
      <w:pPr>
        <w:tabs>
          <w:tab w:val="left" w:leader="underscore" w:pos="9639"/>
        </w:tabs>
        <w:spacing w:after="0" w:line="240" w:lineRule="auto"/>
        <w:jc w:val="both"/>
        <w:rPr>
          <w:rFonts w:cs="Calibri"/>
        </w:rPr>
      </w:pPr>
    </w:p>
    <w:p w14:paraId="402CD14D" w14:textId="06FC2D95" w:rsidR="00CB41C4" w:rsidRDefault="00B25852" w:rsidP="003C0BA3">
      <w:pPr>
        <w:tabs>
          <w:tab w:val="left" w:leader="underscore" w:pos="9639"/>
        </w:tabs>
        <w:spacing w:after="0" w:line="240" w:lineRule="auto"/>
        <w:jc w:val="center"/>
        <w:rPr>
          <w:rFonts w:cs="Calibri"/>
        </w:rPr>
      </w:pPr>
      <w:r>
        <w:rPr>
          <w:noProof/>
          <w:lang w:eastAsia="es-MX"/>
        </w:rPr>
        <w:lastRenderedPageBreak/>
        <w:drawing>
          <wp:inline distT="0" distB="0" distL="0" distR="0" wp14:anchorId="136D57D7" wp14:editId="050EE71F">
            <wp:extent cx="4684196" cy="3478086"/>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200" r="8296" b="800"/>
                    <a:stretch/>
                  </pic:blipFill>
                  <pic:spPr bwMode="auto">
                    <a:xfrm>
                      <a:off x="0" y="0"/>
                      <a:ext cx="4686340" cy="3479678"/>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3F8F63C8" w:rsidR="008A41BD" w:rsidRPr="008A41BD" w:rsidRDefault="008A41BD" w:rsidP="00C043A8">
      <w:pPr>
        <w:pStyle w:val="Textoindependiente"/>
        <w:ind w:left="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sidR="00C043A8">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Default="007359DA" w:rsidP="007359DA">
      <w:pPr>
        <w:rPr>
          <w:rFonts w:ascii="Arial" w:hAnsi="Arial" w:cs="Arial"/>
          <w:sz w:val="20"/>
          <w:szCs w:val="20"/>
          <w:u w:val="single"/>
        </w:rPr>
      </w:pPr>
      <w:r w:rsidRPr="000D7D75">
        <w:rPr>
          <w:rFonts w:ascii="Arial" w:hAnsi="Arial" w:cs="Arial"/>
          <w:sz w:val="20"/>
          <w:szCs w:val="20"/>
          <w:u w:val="single"/>
        </w:rPr>
        <w:t>SI.</w:t>
      </w:r>
    </w:p>
    <w:p w14:paraId="4B06B4A3" w14:textId="77777777" w:rsidR="0056749C" w:rsidRPr="000D7D75" w:rsidRDefault="0056749C" w:rsidP="007359DA">
      <w:pPr>
        <w:rPr>
          <w:rFonts w:ascii="Arial" w:hAnsi="Arial" w:cs="Arial"/>
          <w:sz w:val="20"/>
          <w:szCs w:val="20"/>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lastRenderedPageBreak/>
        <w:t>El método de valuación de inventarios utilizado en el Organismo es el UEPS, y que refleja un costo de los materiales más conservador en el entorno económico en el que nos desenvolvemos. La información se registra a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Pr="003C0BA3" w:rsidRDefault="007653AB" w:rsidP="00CB41C4">
      <w:pPr>
        <w:tabs>
          <w:tab w:val="left" w:leader="underscore" w:pos="9639"/>
        </w:tabs>
        <w:spacing w:after="0" w:line="240" w:lineRule="auto"/>
        <w:jc w:val="both"/>
        <w:rPr>
          <w:rFonts w:cs="Calibri"/>
          <w:b/>
        </w:rPr>
      </w:pPr>
    </w:p>
    <w:p w14:paraId="6113C381"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Provisiones: objetivo de su creación, monto y plazo:</w:t>
      </w:r>
    </w:p>
    <w:p w14:paraId="1B93BCE3" w14:textId="79392D9D" w:rsidR="00CB49A2" w:rsidRPr="003C0BA3" w:rsidRDefault="00CB49A2" w:rsidP="00CB49A2">
      <w:pPr>
        <w:rPr>
          <w:rFonts w:ascii="Arial" w:hAnsi="Arial" w:cs="Arial"/>
          <w:sz w:val="20"/>
          <w:szCs w:val="20"/>
          <w:u w:val="single"/>
        </w:rPr>
      </w:pPr>
      <w:r w:rsidRPr="003C0BA3">
        <w:rPr>
          <w:rFonts w:ascii="Arial" w:hAnsi="Arial" w:cs="Arial"/>
          <w:sz w:val="20"/>
          <w:szCs w:val="20"/>
          <w:u w:val="single"/>
        </w:rPr>
        <w:t xml:space="preserve">Provisiones de Ejercicios Anteriores (Obra por ejecutar </w:t>
      </w:r>
      <w:r w:rsidR="00B25852">
        <w:rPr>
          <w:rFonts w:ascii="Arial" w:hAnsi="Arial" w:cs="Arial"/>
          <w:sz w:val="20"/>
          <w:szCs w:val="20"/>
          <w:u w:val="single"/>
        </w:rPr>
        <w:t>$</w:t>
      </w:r>
      <w:r w:rsidR="00FE2210" w:rsidRPr="00FE2210">
        <w:rPr>
          <w:rFonts w:ascii="Arial" w:hAnsi="Arial" w:cs="Arial"/>
          <w:sz w:val="20"/>
          <w:szCs w:val="20"/>
          <w:u w:val="single"/>
        </w:rPr>
        <w:t>5,480,008.72</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D7164AA"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w:t>
      </w:r>
      <w:r w:rsidR="008657B0">
        <w:rPr>
          <w:rFonts w:ascii="Arial" w:hAnsi="Arial" w:cs="Arial"/>
          <w:sz w:val="20"/>
          <w:szCs w:val="20"/>
          <w:u w:val="single"/>
        </w:rPr>
        <w:t xml:space="preserve"> 10%, Herramientas-14.28</w:t>
      </w:r>
      <w:r w:rsidRPr="008F0698">
        <w:rPr>
          <w:rFonts w:ascii="Arial" w:hAnsi="Arial" w:cs="Arial"/>
          <w:sz w:val="20"/>
          <w:szCs w:val="20"/>
          <w:u w:val="single"/>
        </w:rPr>
        <w:t>%, V</w:t>
      </w:r>
      <w:r w:rsidR="008657B0">
        <w:rPr>
          <w:rFonts w:ascii="Arial" w:hAnsi="Arial" w:cs="Arial"/>
          <w:sz w:val="20"/>
          <w:szCs w:val="20"/>
          <w:u w:val="single"/>
        </w:rPr>
        <w:t>ehículos, camiones, remolques-10%, Equipo de Cómputo – 33.3</w:t>
      </w:r>
      <w:r w:rsidRPr="008F0698">
        <w:rPr>
          <w:rFonts w:ascii="Arial" w:hAnsi="Arial" w:cs="Arial"/>
          <w:sz w:val="20"/>
          <w:szCs w:val="20"/>
          <w:u w:val="single"/>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F53CEE" w:rsidRDefault="007D1E76" w:rsidP="00CB41C4">
      <w:pPr>
        <w:tabs>
          <w:tab w:val="left" w:leader="underscore" w:pos="9639"/>
        </w:tabs>
        <w:spacing w:after="0" w:line="240" w:lineRule="auto"/>
        <w:jc w:val="both"/>
        <w:rPr>
          <w:rFonts w:cs="Calibri"/>
        </w:rPr>
      </w:pPr>
    </w:p>
    <w:p w14:paraId="28597DFB" w14:textId="77777777" w:rsidR="005D7D5C" w:rsidRDefault="007D1E76" w:rsidP="005D7D5C">
      <w:pPr>
        <w:pStyle w:val="Prrafodelista"/>
        <w:numPr>
          <w:ilvl w:val="0"/>
          <w:numId w:val="2"/>
        </w:numPr>
        <w:tabs>
          <w:tab w:val="left" w:leader="underscore" w:pos="9639"/>
        </w:tabs>
        <w:spacing w:after="0" w:line="240" w:lineRule="auto"/>
        <w:jc w:val="both"/>
        <w:rPr>
          <w:rFonts w:cs="Calibri"/>
        </w:rPr>
      </w:pPr>
      <w:r w:rsidRPr="00F53CEE">
        <w:rPr>
          <w:rFonts w:cs="Calibri"/>
        </w:rPr>
        <w:t>Inversiones en valores:</w:t>
      </w:r>
    </w:p>
    <w:p w14:paraId="15770433" w14:textId="2197CC62" w:rsidR="00B25852" w:rsidRDefault="00B25852" w:rsidP="00C66CFA">
      <w:pPr>
        <w:tabs>
          <w:tab w:val="left" w:leader="underscore" w:pos="9639"/>
        </w:tabs>
        <w:spacing w:after="0" w:line="240" w:lineRule="auto"/>
        <w:ind w:left="360"/>
        <w:jc w:val="both"/>
        <w:rPr>
          <w:rFonts w:cs="Calibri"/>
          <w:b/>
        </w:rPr>
      </w:pPr>
    </w:p>
    <w:p w14:paraId="298E238E" w14:textId="32F2452B" w:rsidR="00B25852" w:rsidRDefault="00FE2210" w:rsidP="00C66CFA">
      <w:pPr>
        <w:tabs>
          <w:tab w:val="left" w:leader="underscore" w:pos="9639"/>
        </w:tabs>
        <w:spacing w:after="0" w:line="240" w:lineRule="auto"/>
        <w:ind w:left="360"/>
        <w:jc w:val="both"/>
        <w:rPr>
          <w:rFonts w:cs="Calibri"/>
          <w:b/>
        </w:rPr>
      </w:pPr>
      <w:r w:rsidRPr="00FE2210">
        <w:rPr>
          <w:noProof/>
          <w:lang w:eastAsia="es-MX"/>
        </w:rPr>
        <w:drawing>
          <wp:inline distT="0" distB="0" distL="0" distR="0" wp14:anchorId="57D728F2" wp14:editId="2006763A">
            <wp:extent cx="4807585" cy="9817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7585" cy="981710"/>
                    </a:xfrm>
                    <a:prstGeom prst="rect">
                      <a:avLst/>
                    </a:prstGeom>
                    <a:noFill/>
                    <a:ln>
                      <a:noFill/>
                    </a:ln>
                  </pic:spPr>
                </pic:pic>
              </a:graphicData>
            </a:graphic>
          </wp:inline>
        </w:drawing>
      </w:r>
    </w:p>
    <w:p w14:paraId="13546202" w14:textId="77777777" w:rsidR="00FE2210" w:rsidRDefault="00FE2210" w:rsidP="00C66CFA">
      <w:pPr>
        <w:tabs>
          <w:tab w:val="left" w:leader="underscore" w:pos="9639"/>
        </w:tabs>
        <w:spacing w:after="0" w:line="240" w:lineRule="auto"/>
        <w:ind w:left="360"/>
        <w:jc w:val="both"/>
        <w:rPr>
          <w:rFonts w:cs="Calibri"/>
          <w:b/>
        </w:rPr>
      </w:pPr>
    </w:p>
    <w:p w14:paraId="7F294F69" w14:textId="11E8C304" w:rsidR="007D1E76" w:rsidRPr="00C66CFA" w:rsidRDefault="00C66CFA" w:rsidP="00F63426">
      <w:pPr>
        <w:tabs>
          <w:tab w:val="left" w:leader="underscore" w:pos="9639"/>
        </w:tabs>
        <w:spacing w:after="0" w:line="240" w:lineRule="auto"/>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56A1549B" w14:textId="77777777" w:rsidR="004D6F4B" w:rsidRDefault="004D6F4B" w:rsidP="004D6F4B">
      <w:pPr>
        <w:shd w:val="clear" w:color="auto" w:fill="FFFFFF"/>
        <w:spacing w:after="0" w:line="240" w:lineRule="auto"/>
        <w:rPr>
          <w:rFonts w:ascii="Arial" w:eastAsia="Times New Roman" w:hAnsi="Arial" w:cs="Arial"/>
          <w:b/>
          <w:bCs/>
          <w:color w:val="000000"/>
          <w:sz w:val="20"/>
          <w:szCs w:val="20"/>
          <w:lang w:eastAsia="es-MX"/>
        </w:rPr>
      </w:pPr>
      <w:bookmarkStart w:id="9" w:name="_Toc508279631"/>
      <w:r w:rsidRPr="004D6F4B">
        <w:rPr>
          <w:rFonts w:ascii="Arial" w:eastAsia="Times New Roman" w:hAnsi="Arial" w:cs="Arial"/>
          <w:b/>
          <w:bCs/>
          <w:color w:val="000000"/>
          <w:sz w:val="20"/>
          <w:szCs w:val="20"/>
          <w:lang w:eastAsia="es-MX"/>
        </w:rPr>
        <w:t>10. Reporte de la Recaudación:      </w:t>
      </w:r>
    </w:p>
    <w:p w14:paraId="52ED19BB" w14:textId="0637B034" w:rsidR="004D6F4B" w:rsidRPr="004D6F4B" w:rsidRDefault="004D6F4B" w:rsidP="004D6F4B">
      <w:pPr>
        <w:shd w:val="clear" w:color="auto" w:fill="FFFFFF"/>
        <w:spacing w:after="0" w:line="240" w:lineRule="auto"/>
        <w:rPr>
          <w:rFonts w:eastAsia="Times New Roman"/>
          <w:color w:val="000000"/>
          <w:sz w:val="24"/>
          <w:szCs w:val="24"/>
          <w:lang w:eastAsia="es-MX"/>
        </w:rPr>
      </w:pPr>
      <w:r w:rsidRPr="004D6F4B">
        <w:rPr>
          <w:rFonts w:ascii="Arial" w:eastAsia="Times New Roman" w:hAnsi="Arial" w:cs="Arial"/>
          <w:b/>
          <w:bCs/>
          <w:color w:val="000000"/>
          <w:sz w:val="20"/>
          <w:szCs w:val="20"/>
          <w:lang w:eastAsia="es-MX"/>
        </w:rPr>
        <w:t>                </w:t>
      </w:r>
    </w:p>
    <w:p w14:paraId="6D00EEC7" w14:textId="77777777" w:rsidR="004D6F4B" w:rsidRPr="004D6F4B" w:rsidRDefault="004D6F4B" w:rsidP="004D6F4B">
      <w:pPr>
        <w:tabs>
          <w:tab w:val="left" w:leader="underscore" w:pos="9639"/>
        </w:tabs>
        <w:spacing w:after="0" w:line="240" w:lineRule="auto"/>
        <w:jc w:val="both"/>
        <w:rPr>
          <w:rFonts w:cs="Calibri"/>
        </w:rPr>
      </w:pPr>
      <w:r w:rsidRPr="004D6F4B">
        <w:rPr>
          <w:rFonts w:cs="Calibri"/>
        </w:rPr>
        <w:t>a) Análisis del comportamiento de la recaudación correspondiente al ente público o cualquier tipo de ingreso, de forma separada los ingresos locales de los federales:</w:t>
      </w:r>
    </w:p>
    <w:p w14:paraId="57D52BF2" w14:textId="77777777" w:rsidR="004D6F4B" w:rsidRPr="004D6F4B" w:rsidRDefault="004D6F4B" w:rsidP="004D6F4B">
      <w:pPr>
        <w:tabs>
          <w:tab w:val="left" w:leader="underscore" w:pos="9639"/>
        </w:tabs>
        <w:spacing w:after="0" w:line="240" w:lineRule="auto"/>
        <w:jc w:val="both"/>
        <w:rPr>
          <w:rFonts w:cs="Calibri"/>
          <w:u w:val="single"/>
        </w:rPr>
      </w:pPr>
      <w:r w:rsidRPr="004D6F4B">
        <w:rPr>
          <w:rFonts w:cs="Calibri"/>
          <w:u w:val="single"/>
        </w:rPr>
        <w:lastRenderedPageBreak/>
        <w:t>En el mes de Septiembre del 2020 se obtuvo una recaudación acumulada de $226,211,710.25 (48.85% de lo presupuestado) por el cobro de los servicios de agua potable, alcantarillado y saneamiento correspondiente al mes de referencia.</w:t>
      </w:r>
    </w:p>
    <w:p w14:paraId="216F71F7" w14:textId="77777777" w:rsidR="004D6F4B" w:rsidRPr="004D6F4B" w:rsidRDefault="004D6F4B" w:rsidP="004D6F4B">
      <w:pPr>
        <w:shd w:val="clear" w:color="auto" w:fill="FFFFFF"/>
        <w:spacing w:after="0" w:line="240" w:lineRule="auto"/>
        <w:rPr>
          <w:rFonts w:eastAsia="Times New Roman"/>
          <w:color w:val="000000"/>
          <w:sz w:val="24"/>
          <w:szCs w:val="24"/>
          <w:lang w:eastAsia="es-MX"/>
        </w:rPr>
      </w:pPr>
    </w:p>
    <w:p w14:paraId="2803D33C" w14:textId="77777777" w:rsidR="004D6F4B" w:rsidRPr="004D6F4B" w:rsidRDefault="004D6F4B" w:rsidP="004D6F4B">
      <w:pPr>
        <w:tabs>
          <w:tab w:val="left" w:leader="underscore" w:pos="9639"/>
        </w:tabs>
        <w:spacing w:after="0" w:line="240" w:lineRule="auto"/>
        <w:jc w:val="both"/>
        <w:rPr>
          <w:rFonts w:cs="Calibri"/>
        </w:rPr>
      </w:pPr>
      <w:r w:rsidRPr="004D6F4B">
        <w:rPr>
          <w:rFonts w:cs="Calibri"/>
        </w:rPr>
        <w:t>b) Proyección de la recaudación e ingresos en el mediano plazo:</w:t>
      </w:r>
    </w:p>
    <w:p w14:paraId="35CB62FD" w14:textId="77777777" w:rsidR="004D6F4B" w:rsidRPr="004D6F4B" w:rsidRDefault="004D6F4B" w:rsidP="004D6F4B">
      <w:pPr>
        <w:tabs>
          <w:tab w:val="left" w:leader="underscore" w:pos="9639"/>
        </w:tabs>
        <w:spacing w:after="0" w:line="240" w:lineRule="auto"/>
        <w:jc w:val="both"/>
        <w:rPr>
          <w:rFonts w:cs="Calibri"/>
          <w:u w:val="single"/>
        </w:rPr>
      </w:pPr>
      <w:r w:rsidRPr="004D6F4B">
        <w:rPr>
          <w:rFonts w:cs="Calibri"/>
          <w:u w:val="single"/>
        </w:rPr>
        <w:t>Se proyecta recaudar un total de $463,111,911.88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Septiembre del 2020, se logró recaudar un total de $350,860,178.77  Lo anterior representa un 75.76% del total presupuestado.</w:t>
      </w:r>
    </w:p>
    <w:p w14:paraId="6031E16D" w14:textId="77777777" w:rsidR="00DA79F1" w:rsidRPr="00DA79F1" w:rsidRDefault="00DA79F1" w:rsidP="00DA79F1">
      <w:pPr>
        <w:shd w:val="clear" w:color="auto" w:fill="FFFFFF"/>
        <w:spacing w:after="0" w:line="360" w:lineRule="auto"/>
        <w:rPr>
          <w:rFonts w:eastAsia="Times New Roman"/>
          <w:color w:val="000000"/>
          <w:sz w:val="24"/>
          <w:szCs w:val="24"/>
          <w:lang w:eastAsia="es-MX"/>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Pr="0083728C" w:rsidRDefault="002E7EB3" w:rsidP="00CB41C4">
      <w:pPr>
        <w:tabs>
          <w:tab w:val="left" w:leader="underscore" w:pos="9639"/>
        </w:tabs>
        <w:spacing w:after="0" w:line="240" w:lineRule="auto"/>
        <w:jc w:val="both"/>
        <w:rPr>
          <w:rFonts w:cs="Calibri"/>
          <w:u w:val="single"/>
        </w:rPr>
      </w:pPr>
      <w:r w:rsidRPr="0083728C">
        <w:rPr>
          <w:rFonts w:cs="Calibri"/>
          <w:u w:val="single"/>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0"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1" w:name="_Toc508279633"/>
      <w:r w:rsidRPr="000C3365">
        <w:rPr>
          <w:rFonts w:asciiTheme="minorHAnsi" w:hAnsiTheme="minorHAnsi" w:cstheme="minorHAnsi"/>
          <w:b/>
          <w:color w:val="auto"/>
          <w:sz w:val="22"/>
        </w:rPr>
        <w:t>13.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214FBFE0"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w:t>
      </w:r>
      <w:r w:rsidR="00DA79F1">
        <w:rPr>
          <w:rFonts w:ascii="Arial" w:hAnsi="Arial" w:cs="Arial"/>
          <w:sz w:val="20"/>
          <w:szCs w:val="20"/>
          <w:u w:val="single"/>
        </w:rPr>
        <w:t>20</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05F73289"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0056749C" w:rsidRPr="00DC0164">
        <w:rPr>
          <w:rFonts w:cs="Calibri"/>
          <w:u w:val="single"/>
        </w:rPr>
        <w:t>0333_I</w:t>
      </w:r>
      <w:r w:rsidR="00DA79F1">
        <w:rPr>
          <w:rFonts w:cs="Calibri"/>
          <w:u w:val="single"/>
        </w:rPr>
        <w:t>N</w:t>
      </w:r>
      <w:r w:rsidR="0056749C" w:rsidRPr="00DC0164">
        <w:rPr>
          <w:rFonts w:cs="Calibri"/>
          <w:u w:val="single"/>
        </w:rPr>
        <w:t>R_</w:t>
      </w:r>
      <w:r w:rsidRPr="00DC0164">
        <w:rPr>
          <w:rFonts w:cs="Calibri"/>
          <w:u w:val="single"/>
        </w:rPr>
        <w:t>MCYA_AWA</w:t>
      </w:r>
      <w:r w:rsidR="00DA79F1">
        <w:rPr>
          <w:rFonts w:cs="Calibri"/>
          <w:u w:val="single"/>
        </w:rPr>
        <w:t>_2002</w:t>
      </w:r>
      <w:r w:rsidRPr="00DC0164">
        <w:rPr>
          <w:rFonts w:cs="Calibri"/>
          <w:u w:val="single"/>
        </w:rPr>
        <w:t>-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5FB20B0" w14:textId="77777777" w:rsidR="0083728C" w:rsidRPr="00E74967" w:rsidRDefault="0083728C" w:rsidP="00CB41C4">
      <w:pPr>
        <w:tabs>
          <w:tab w:val="left" w:leader="underscore" w:pos="9639"/>
        </w:tabs>
        <w:spacing w:after="0" w:line="240" w:lineRule="auto"/>
        <w:jc w:val="both"/>
        <w:rPr>
          <w:rFonts w:cs="Calibri"/>
        </w:rPr>
      </w:pPr>
    </w:p>
    <w:p w14:paraId="33A52422" w14:textId="4607D820" w:rsidR="0083728C" w:rsidRPr="007653AB" w:rsidRDefault="0083728C" w:rsidP="0083728C">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15C539A" w:rsidR="007D1E76" w:rsidRDefault="0083728C" w:rsidP="00CB41C4">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7E003FA4" w14:textId="77777777" w:rsidR="0083728C" w:rsidRPr="00E74967" w:rsidRDefault="0083728C"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4" w:name="_Toc508279636"/>
      <w:r w:rsidRPr="000C3365">
        <w:rPr>
          <w:rFonts w:asciiTheme="minorHAnsi" w:hAnsiTheme="minorHAnsi" w:cstheme="minorHAnsi"/>
          <w:b/>
          <w:color w:val="auto"/>
          <w:sz w:val="22"/>
        </w:rPr>
        <w:t>16.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31F549DF" w:rsidR="00D94C7B" w:rsidRDefault="00D94C7B" w:rsidP="00CB41C4">
      <w:pPr>
        <w:pBdr>
          <w:bottom w:val="single" w:sz="12" w:space="1" w:color="auto"/>
        </w:pBdr>
        <w:tabs>
          <w:tab w:val="left" w:leader="underscore" w:pos="9639"/>
        </w:tabs>
        <w:spacing w:after="0" w:line="240" w:lineRule="auto"/>
        <w:jc w:val="both"/>
        <w:rPr>
          <w:rFonts w:cs="Calibri"/>
        </w:rPr>
      </w:pPr>
    </w:p>
    <w:p w14:paraId="2A1FB8FE" w14:textId="76B422F0" w:rsidR="007610BC" w:rsidRDefault="007610BC" w:rsidP="00D94C7B">
      <w:pPr>
        <w:jc w:val="right"/>
        <w:rPr>
          <w:rFonts w:cs="Calibri"/>
        </w:rPr>
      </w:pPr>
    </w:p>
    <w:p w14:paraId="2187969C" w14:textId="77777777" w:rsidR="00D94C7B" w:rsidRPr="00D94C7B" w:rsidRDefault="00D94C7B" w:rsidP="00D94C7B">
      <w:pPr>
        <w:spacing w:after="0" w:line="240" w:lineRule="auto"/>
        <w:rPr>
          <w:rFonts w:ascii="Arial" w:eastAsia="Times New Roman" w:hAnsi="Arial" w:cs="Arial"/>
          <w:sz w:val="16"/>
          <w:szCs w:val="16"/>
          <w:lang w:eastAsia="es-MX"/>
        </w:rPr>
      </w:pPr>
      <w:r w:rsidRPr="00D94C7B">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7AD59A1" w14:textId="77777777" w:rsidR="00D94C7B" w:rsidRPr="00D94C7B" w:rsidRDefault="00D94C7B" w:rsidP="00D94C7B">
      <w:pPr>
        <w:jc w:val="right"/>
        <w:rPr>
          <w:rFonts w:cs="Calibri"/>
        </w:rPr>
      </w:pPr>
      <w:bookmarkStart w:id="16" w:name="_GoBack"/>
      <w:bookmarkEnd w:id="16"/>
    </w:p>
    <w:sectPr w:rsidR="00D94C7B" w:rsidRPr="00D94C7B"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9FC4" w14:textId="77777777" w:rsidR="00AC515A" w:rsidRDefault="00AC515A" w:rsidP="00E00323">
      <w:pPr>
        <w:spacing w:after="0" w:line="240" w:lineRule="auto"/>
      </w:pPr>
      <w:r>
        <w:separator/>
      </w:r>
    </w:p>
  </w:endnote>
  <w:endnote w:type="continuationSeparator" w:id="0">
    <w:p w14:paraId="2A0F8642" w14:textId="77777777" w:rsidR="00AC515A" w:rsidRDefault="00AC515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59F95C2" w:rsidR="00FE2210" w:rsidRDefault="00FE2210">
        <w:pPr>
          <w:pStyle w:val="Piedepgina"/>
          <w:jc w:val="right"/>
        </w:pPr>
        <w:r>
          <w:fldChar w:fldCharType="begin"/>
        </w:r>
        <w:r>
          <w:instrText>PAGE   \* MERGEFORMAT</w:instrText>
        </w:r>
        <w:r>
          <w:fldChar w:fldCharType="separate"/>
        </w:r>
        <w:r w:rsidR="00D94C7B" w:rsidRPr="00D94C7B">
          <w:rPr>
            <w:noProof/>
            <w:lang w:val="es-ES"/>
          </w:rPr>
          <w:t>2</w:t>
        </w:r>
        <w:r>
          <w:fldChar w:fldCharType="end"/>
        </w:r>
      </w:p>
    </w:sdtContent>
  </w:sdt>
  <w:p w14:paraId="37983FFD" w14:textId="77777777" w:rsidR="00FE2210" w:rsidRDefault="00FE22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76EC" w14:textId="77777777" w:rsidR="00AC515A" w:rsidRDefault="00AC515A" w:rsidP="00E00323">
      <w:pPr>
        <w:spacing w:after="0" w:line="240" w:lineRule="auto"/>
      </w:pPr>
      <w:r>
        <w:separator/>
      </w:r>
    </w:p>
  </w:footnote>
  <w:footnote w:type="continuationSeparator" w:id="0">
    <w:p w14:paraId="6214B71D" w14:textId="77777777" w:rsidR="00AC515A" w:rsidRDefault="00AC515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84F643E" w:rsidR="00FE2210" w:rsidRDefault="00FE2210" w:rsidP="00A4610E">
    <w:pPr>
      <w:pStyle w:val="Encabezado"/>
      <w:spacing w:after="0" w:line="240" w:lineRule="auto"/>
      <w:jc w:val="center"/>
    </w:pPr>
    <w:r>
      <w:t>JUNTA MUNICIPAL DE AGUA POTABLE Y ALCANTARILLADO DE CELAYA, GTO.</w:t>
    </w:r>
  </w:p>
  <w:p w14:paraId="651A4C4F" w14:textId="6CDBBD52" w:rsidR="00FE2210" w:rsidRDefault="00FE2210" w:rsidP="00823CBA">
    <w:pPr>
      <w:pStyle w:val="Encabezado"/>
      <w:spacing w:after="0" w:line="240" w:lineRule="auto"/>
      <w:jc w:val="center"/>
    </w:pPr>
    <w:r w:rsidRPr="00A4610E">
      <w:t>CORRESPONDI</w:t>
    </w:r>
    <w:r>
      <w:t>ENTES AL 30 DE JUNIO DEL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C219A"/>
    <w:multiLevelType w:val="hybridMultilevel"/>
    <w:tmpl w:val="AF8E6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501FBE"/>
    <w:multiLevelType w:val="hybridMultilevel"/>
    <w:tmpl w:val="FCB66FDE"/>
    <w:lvl w:ilvl="0" w:tplc="3D183614">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1B5708"/>
    <w:multiLevelType w:val="hybridMultilevel"/>
    <w:tmpl w:val="7E0AE94A"/>
    <w:lvl w:ilvl="0" w:tplc="9490BF3C">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1035"/>
    <w:rsid w:val="001973A2"/>
    <w:rsid w:val="001C75F2"/>
    <w:rsid w:val="001D2063"/>
    <w:rsid w:val="001D43E9"/>
    <w:rsid w:val="001F1242"/>
    <w:rsid w:val="002E7EB3"/>
    <w:rsid w:val="003453CA"/>
    <w:rsid w:val="003C0BA3"/>
    <w:rsid w:val="00414873"/>
    <w:rsid w:val="00424E9A"/>
    <w:rsid w:val="00435A87"/>
    <w:rsid w:val="00436C88"/>
    <w:rsid w:val="004A58C8"/>
    <w:rsid w:val="004D6F4B"/>
    <w:rsid w:val="0054701E"/>
    <w:rsid w:val="0056749C"/>
    <w:rsid w:val="005961A2"/>
    <w:rsid w:val="005B664F"/>
    <w:rsid w:val="005D3E43"/>
    <w:rsid w:val="005D7D5C"/>
    <w:rsid w:val="005E231E"/>
    <w:rsid w:val="00657009"/>
    <w:rsid w:val="00663833"/>
    <w:rsid w:val="00681C79"/>
    <w:rsid w:val="006D493A"/>
    <w:rsid w:val="006E0A86"/>
    <w:rsid w:val="007359DA"/>
    <w:rsid w:val="007610BC"/>
    <w:rsid w:val="007653AB"/>
    <w:rsid w:val="007714AB"/>
    <w:rsid w:val="007D1E76"/>
    <w:rsid w:val="007D4484"/>
    <w:rsid w:val="007F73F3"/>
    <w:rsid w:val="00805534"/>
    <w:rsid w:val="00823CBA"/>
    <w:rsid w:val="0083728C"/>
    <w:rsid w:val="0086459F"/>
    <w:rsid w:val="008657B0"/>
    <w:rsid w:val="008A41BD"/>
    <w:rsid w:val="008C3BB8"/>
    <w:rsid w:val="008E076C"/>
    <w:rsid w:val="009019D9"/>
    <w:rsid w:val="0092765C"/>
    <w:rsid w:val="00A4610E"/>
    <w:rsid w:val="00A57224"/>
    <w:rsid w:val="00A730E0"/>
    <w:rsid w:val="00A84D75"/>
    <w:rsid w:val="00AA41E5"/>
    <w:rsid w:val="00AB722B"/>
    <w:rsid w:val="00AC515A"/>
    <w:rsid w:val="00AE1F6A"/>
    <w:rsid w:val="00B25852"/>
    <w:rsid w:val="00B84C93"/>
    <w:rsid w:val="00B864D4"/>
    <w:rsid w:val="00C043A8"/>
    <w:rsid w:val="00C2637B"/>
    <w:rsid w:val="00C66CFA"/>
    <w:rsid w:val="00C97E1E"/>
    <w:rsid w:val="00CB41C4"/>
    <w:rsid w:val="00CB49A2"/>
    <w:rsid w:val="00CF1316"/>
    <w:rsid w:val="00D00227"/>
    <w:rsid w:val="00D02C94"/>
    <w:rsid w:val="00D13C44"/>
    <w:rsid w:val="00D94C7B"/>
    <w:rsid w:val="00D975B1"/>
    <w:rsid w:val="00DA79F1"/>
    <w:rsid w:val="00DC0164"/>
    <w:rsid w:val="00DC319D"/>
    <w:rsid w:val="00DD206B"/>
    <w:rsid w:val="00DE11F9"/>
    <w:rsid w:val="00E00323"/>
    <w:rsid w:val="00E74967"/>
    <w:rsid w:val="00EA37F5"/>
    <w:rsid w:val="00EA7915"/>
    <w:rsid w:val="00EA7959"/>
    <w:rsid w:val="00F46719"/>
    <w:rsid w:val="00F53CEE"/>
    <w:rsid w:val="00F54F6F"/>
    <w:rsid w:val="00F63426"/>
    <w:rsid w:val="00FE2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650047C7-8AD5-48EF-8778-1A2218CE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8111">
      <w:bodyDiv w:val="1"/>
      <w:marLeft w:val="0"/>
      <w:marRight w:val="0"/>
      <w:marTop w:val="0"/>
      <w:marBottom w:val="0"/>
      <w:divBdr>
        <w:top w:val="none" w:sz="0" w:space="0" w:color="auto"/>
        <w:left w:val="none" w:sz="0" w:space="0" w:color="auto"/>
        <w:bottom w:val="none" w:sz="0" w:space="0" w:color="auto"/>
        <w:right w:val="none" w:sz="0" w:space="0" w:color="auto"/>
      </w:divBdr>
    </w:div>
    <w:div w:id="307904857">
      <w:bodyDiv w:val="1"/>
      <w:marLeft w:val="0"/>
      <w:marRight w:val="0"/>
      <w:marTop w:val="0"/>
      <w:marBottom w:val="0"/>
      <w:divBdr>
        <w:top w:val="none" w:sz="0" w:space="0" w:color="auto"/>
        <w:left w:val="none" w:sz="0" w:space="0" w:color="auto"/>
        <w:bottom w:val="none" w:sz="0" w:space="0" w:color="auto"/>
        <w:right w:val="none" w:sz="0" w:space="0" w:color="auto"/>
      </w:divBdr>
    </w:div>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17675919">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868110313">
      <w:bodyDiv w:val="1"/>
      <w:marLeft w:val="0"/>
      <w:marRight w:val="0"/>
      <w:marTop w:val="0"/>
      <w:marBottom w:val="0"/>
      <w:divBdr>
        <w:top w:val="none" w:sz="0" w:space="0" w:color="auto"/>
        <w:left w:val="none" w:sz="0" w:space="0" w:color="auto"/>
        <w:bottom w:val="none" w:sz="0" w:space="0" w:color="auto"/>
        <w:right w:val="none" w:sz="0" w:space="0" w:color="auto"/>
      </w:divBdr>
      <w:divsChild>
        <w:div w:id="1658606246">
          <w:marLeft w:val="0"/>
          <w:marRight w:val="0"/>
          <w:marTop w:val="0"/>
          <w:marBottom w:val="0"/>
          <w:divBdr>
            <w:top w:val="none" w:sz="0" w:space="0" w:color="auto"/>
            <w:left w:val="none" w:sz="0" w:space="0" w:color="auto"/>
            <w:bottom w:val="none" w:sz="0" w:space="0" w:color="auto"/>
            <w:right w:val="none" w:sz="0" w:space="0" w:color="auto"/>
          </w:divBdr>
        </w:div>
        <w:div w:id="1039279011">
          <w:marLeft w:val="0"/>
          <w:marRight w:val="0"/>
          <w:marTop w:val="0"/>
          <w:marBottom w:val="0"/>
          <w:divBdr>
            <w:top w:val="none" w:sz="0" w:space="0" w:color="auto"/>
            <w:left w:val="none" w:sz="0" w:space="0" w:color="auto"/>
            <w:bottom w:val="none" w:sz="0" w:space="0" w:color="auto"/>
            <w:right w:val="none" w:sz="0" w:space="0" w:color="auto"/>
          </w:divBdr>
        </w:div>
        <w:div w:id="1193957847">
          <w:marLeft w:val="0"/>
          <w:marRight w:val="0"/>
          <w:marTop w:val="0"/>
          <w:marBottom w:val="0"/>
          <w:divBdr>
            <w:top w:val="none" w:sz="0" w:space="0" w:color="auto"/>
            <w:left w:val="none" w:sz="0" w:space="0" w:color="auto"/>
            <w:bottom w:val="none" w:sz="0" w:space="0" w:color="auto"/>
            <w:right w:val="none" w:sz="0" w:space="0" w:color="auto"/>
          </w:divBdr>
        </w:div>
        <w:div w:id="803544924">
          <w:marLeft w:val="0"/>
          <w:marRight w:val="0"/>
          <w:marTop w:val="0"/>
          <w:marBottom w:val="0"/>
          <w:divBdr>
            <w:top w:val="none" w:sz="0" w:space="0" w:color="auto"/>
            <w:left w:val="none" w:sz="0" w:space="0" w:color="auto"/>
            <w:bottom w:val="none" w:sz="0" w:space="0" w:color="auto"/>
            <w:right w:val="none" w:sz="0" w:space="0" w:color="auto"/>
          </w:divBdr>
        </w:div>
        <w:div w:id="724137103">
          <w:marLeft w:val="0"/>
          <w:marRight w:val="0"/>
          <w:marTop w:val="0"/>
          <w:marBottom w:val="0"/>
          <w:divBdr>
            <w:top w:val="none" w:sz="0" w:space="0" w:color="auto"/>
            <w:left w:val="none" w:sz="0" w:space="0" w:color="auto"/>
            <w:bottom w:val="none" w:sz="0" w:space="0" w:color="auto"/>
            <w:right w:val="none" w:sz="0" w:space="0" w:color="auto"/>
          </w:divBdr>
        </w:div>
      </w:divsChild>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07252660">
      <w:bodyDiv w:val="1"/>
      <w:marLeft w:val="0"/>
      <w:marRight w:val="0"/>
      <w:marTop w:val="0"/>
      <w:marBottom w:val="0"/>
      <w:divBdr>
        <w:top w:val="none" w:sz="0" w:space="0" w:color="auto"/>
        <w:left w:val="none" w:sz="0" w:space="0" w:color="auto"/>
        <w:bottom w:val="none" w:sz="0" w:space="0" w:color="auto"/>
        <w:right w:val="none" w:sz="0" w:space="0" w:color="auto"/>
      </w:divBdr>
    </w:div>
    <w:div w:id="1047417059">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072123371">
      <w:bodyDiv w:val="1"/>
      <w:marLeft w:val="0"/>
      <w:marRight w:val="0"/>
      <w:marTop w:val="0"/>
      <w:marBottom w:val="0"/>
      <w:divBdr>
        <w:top w:val="none" w:sz="0" w:space="0" w:color="auto"/>
        <w:left w:val="none" w:sz="0" w:space="0" w:color="auto"/>
        <w:bottom w:val="none" w:sz="0" w:space="0" w:color="auto"/>
        <w:right w:val="none" w:sz="0" w:space="0" w:color="auto"/>
      </w:divBdr>
    </w:div>
    <w:div w:id="1130057312">
      <w:bodyDiv w:val="1"/>
      <w:marLeft w:val="0"/>
      <w:marRight w:val="0"/>
      <w:marTop w:val="0"/>
      <w:marBottom w:val="0"/>
      <w:divBdr>
        <w:top w:val="none" w:sz="0" w:space="0" w:color="auto"/>
        <w:left w:val="none" w:sz="0" w:space="0" w:color="auto"/>
        <w:bottom w:val="none" w:sz="0" w:space="0" w:color="auto"/>
        <w:right w:val="none" w:sz="0" w:space="0" w:color="auto"/>
      </w:divBdr>
      <w:divsChild>
        <w:div w:id="87889953">
          <w:marLeft w:val="0"/>
          <w:marRight w:val="0"/>
          <w:marTop w:val="0"/>
          <w:marBottom w:val="0"/>
          <w:divBdr>
            <w:top w:val="none" w:sz="0" w:space="0" w:color="auto"/>
            <w:left w:val="none" w:sz="0" w:space="0" w:color="auto"/>
            <w:bottom w:val="none" w:sz="0" w:space="0" w:color="auto"/>
            <w:right w:val="none" w:sz="0" w:space="0" w:color="auto"/>
          </w:divBdr>
        </w:div>
        <w:div w:id="651833293">
          <w:marLeft w:val="0"/>
          <w:marRight w:val="0"/>
          <w:marTop w:val="0"/>
          <w:marBottom w:val="0"/>
          <w:divBdr>
            <w:top w:val="none" w:sz="0" w:space="0" w:color="auto"/>
            <w:left w:val="none" w:sz="0" w:space="0" w:color="auto"/>
            <w:bottom w:val="none" w:sz="0" w:space="0" w:color="auto"/>
            <w:right w:val="none" w:sz="0" w:space="0" w:color="auto"/>
          </w:divBdr>
        </w:div>
        <w:div w:id="1723600561">
          <w:marLeft w:val="0"/>
          <w:marRight w:val="0"/>
          <w:marTop w:val="0"/>
          <w:marBottom w:val="0"/>
          <w:divBdr>
            <w:top w:val="none" w:sz="0" w:space="0" w:color="auto"/>
            <w:left w:val="none" w:sz="0" w:space="0" w:color="auto"/>
            <w:bottom w:val="none" w:sz="0" w:space="0" w:color="auto"/>
            <w:right w:val="none" w:sz="0" w:space="0" w:color="auto"/>
          </w:divBdr>
        </w:div>
        <w:div w:id="456723200">
          <w:marLeft w:val="0"/>
          <w:marRight w:val="0"/>
          <w:marTop w:val="0"/>
          <w:marBottom w:val="0"/>
          <w:divBdr>
            <w:top w:val="none" w:sz="0" w:space="0" w:color="auto"/>
            <w:left w:val="none" w:sz="0" w:space="0" w:color="auto"/>
            <w:bottom w:val="none" w:sz="0" w:space="0" w:color="auto"/>
            <w:right w:val="none" w:sz="0" w:space="0" w:color="auto"/>
          </w:divBdr>
        </w:div>
        <w:div w:id="198592018">
          <w:marLeft w:val="0"/>
          <w:marRight w:val="0"/>
          <w:marTop w:val="0"/>
          <w:marBottom w:val="0"/>
          <w:divBdr>
            <w:top w:val="none" w:sz="0" w:space="0" w:color="auto"/>
            <w:left w:val="none" w:sz="0" w:space="0" w:color="auto"/>
            <w:bottom w:val="none" w:sz="0" w:space="0" w:color="auto"/>
            <w:right w:val="none" w:sz="0" w:space="0" w:color="auto"/>
          </w:divBdr>
        </w:div>
      </w:divsChild>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173993372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anzaspublicas.hacienda.gob.mx/work/models/Finanzas_Publicas/docs/paquete_economico/precgpe/precgpe_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FA30B7C-4C24-4156-BD92-8D04A7DC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3491</Words>
  <Characters>19202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Luis-Torres</cp:lastModifiedBy>
  <cp:revision>2</cp:revision>
  <dcterms:created xsi:type="dcterms:W3CDTF">2020-10-15T15:42:00Z</dcterms:created>
  <dcterms:modified xsi:type="dcterms:W3CDTF">2020-10-15T15:42:00Z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