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679A" w14:textId="77777777" w:rsidR="003B61ED" w:rsidRPr="001D097B" w:rsidRDefault="003B61ED" w:rsidP="003B61ED">
      <w:pPr>
        <w:spacing w:after="0" w:line="240" w:lineRule="auto"/>
        <w:jc w:val="center"/>
        <w:rPr>
          <w:rFonts w:ascii="Antenna Light" w:hAnsi="Antenna Light"/>
        </w:rPr>
      </w:pPr>
      <w:bookmarkStart w:id="0" w:name="_GoBack"/>
      <w:bookmarkEnd w:id="0"/>
    </w:p>
    <w:p w14:paraId="0AA96C45" w14:textId="77777777" w:rsidR="003B61ED" w:rsidRPr="001D097B" w:rsidRDefault="003775FD" w:rsidP="003B61ED">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77777777" w:rsidR="003F01FC" w:rsidRDefault="003B61ED" w:rsidP="003F01FC">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por ello a partir del año que se reporta,  fue designado  como representante municipal del Estado de Guanajuato, ante el Comité Consultivo del Consejo Nacional de Armonización Contable, para el periodo 2017- 2019.</w:t>
      </w:r>
    </w:p>
    <w:p w14:paraId="64666EF0" w14:textId="77777777" w:rsidR="003B61ED" w:rsidRPr="003F01FC" w:rsidRDefault="003B61ED" w:rsidP="003F01FC">
      <w:pPr>
        <w:widowControl w:val="0"/>
        <w:tabs>
          <w:tab w:val="left" w:pos="3840"/>
        </w:tabs>
        <w:autoSpaceDE w:val="0"/>
        <w:autoSpaceDN w:val="0"/>
        <w:adjustRightInd w:val="0"/>
        <w:spacing w:before="116" w:after="0"/>
        <w:ind w:right="758"/>
        <w:jc w:val="center"/>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3B61ED">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w:t>
      </w:r>
      <w:r w:rsidRPr="001D097B">
        <w:rPr>
          <w:rFonts w:ascii="Antenna Light" w:eastAsia="Times New Roman" w:hAnsi="Antenna Light" w:cs="Arial"/>
          <w:bCs/>
          <w:color w:val="000000"/>
          <w:sz w:val="20"/>
          <w:szCs w:val="20"/>
          <w:lang w:val="es-ES" w:eastAsia="es-ES"/>
        </w:rPr>
        <w:lastRenderedPageBreak/>
        <w:t xml:space="preserve">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1B81983A" w14:textId="77777777" w:rsidR="003F01FC" w:rsidRPr="001D097B" w:rsidRDefault="003F01FC"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55B9B259" w14:textId="77777777" w:rsidR="003B61ED" w:rsidRPr="001D097B"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4FFBF2E6" w14:textId="77777777" w:rsidR="003B61ED" w:rsidRPr="001D097B" w:rsidRDefault="003B61ED" w:rsidP="003B61ED">
      <w:pPr>
        <w:widowControl w:val="0"/>
        <w:tabs>
          <w:tab w:val="left" w:pos="3840"/>
        </w:tabs>
        <w:autoSpaceDE w:val="0"/>
        <w:autoSpaceDN w:val="0"/>
        <w:adjustRightInd w:val="0"/>
        <w:spacing w:before="116" w:after="0" w:line="320" w:lineRule="exact"/>
        <w:ind w:right="758"/>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 xml:space="preserve">                  ESTRUCTURA  ORGANIZACIONAL</w:t>
      </w:r>
    </w:p>
    <w:p w14:paraId="0FA230FB" w14:textId="77777777" w:rsidR="003B61ED" w:rsidRPr="001D097B" w:rsidRDefault="00D06C79"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r>
        <w:rPr>
          <w:noProof/>
          <w:lang w:val="es-ES" w:eastAsia="es-ES"/>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BDB910C"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15846E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2A53268"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68BB0D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80C526A"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0BC2A7B2"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5A7FC7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588CCF1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CF1CD92" w14:textId="77777777" w:rsidR="003B61ED" w:rsidRPr="001D097B" w:rsidRDefault="003775FD" w:rsidP="00BE7067">
      <w:pPr>
        <w:widowControl w:val="0"/>
        <w:tabs>
          <w:tab w:val="left" w:pos="3840"/>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3B61ED">
      <w:pPr>
        <w:widowControl w:val="0"/>
        <w:tabs>
          <w:tab w:val="left" w:pos="6585"/>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BE7067">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261F55">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3B61ED">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261F55">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lastRenderedPageBreak/>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3B61ED">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3B61ED">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3B61ED">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3B61ED">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3B61ED">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3B61ED">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lastRenderedPageBreak/>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3B61ED">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3B61ED">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Permite generar   la Información a difundir, relativa al Título V de la Ley General de Contabilidad Gubernamental, Ley de Transparencia y Acceso a la Información Pública del Estado de Guanajuato, así como  la información financiera  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77777777" w:rsidR="00261F55" w:rsidRDefault="00261F55"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w:t>
      </w:r>
      <w:r w:rsidRPr="001D097B">
        <w:rPr>
          <w:rFonts w:ascii="Antenna Light" w:hAnsi="Antenna Light" w:cs="Arial"/>
          <w:color w:val="000000"/>
          <w:w w:val="103"/>
          <w:sz w:val="20"/>
          <w:szCs w:val="20"/>
        </w:rPr>
        <w:lastRenderedPageBreak/>
        <w:t>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Consejo de Armonización Contable de la Entidad Federativa realizó las acciones necesarias para dar cumplimiento a lo dispuesto en la LGCG, así como supervisar los avances correspondientes al segundo periodo de ejecución del ejercicio en curso mediante el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y así revelar el grado de cumplimiento en materia de armonización contable,</w:t>
      </w:r>
      <w:r w:rsidR="001043A1" w:rsidRPr="001D097B">
        <w:rPr>
          <w:rFonts w:ascii="Antenna Light" w:hAnsi="Antenna Light" w:cs="Arial"/>
          <w:color w:val="000000"/>
          <w:w w:val="103"/>
          <w:sz w:val="20"/>
          <w:szCs w:val="20"/>
        </w:rPr>
        <w:t xml:space="preserve"> </w:t>
      </w:r>
      <w:r w:rsidR="004B6FC0" w:rsidRPr="001D097B">
        <w:rPr>
          <w:rFonts w:ascii="Antenna Light" w:hAnsi="Antenna Light" w:cs="Arial"/>
          <w:color w:val="000000"/>
          <w:w w:val="103"/>
          <w:sz w:val="20"/>
          <w:szCs w:val="20"/>
        </w:rPr>
        <w:t xml:space="preserve">en ese orden de ideas, el Municipio de Celaya Guanajuato </w:t>
      </w:r>
      <w:r w:rsidR="00506D39" w:rsidRPr="001D097B">
        <w:rPr>
          <w:rFonts w:ascii="Antenna Light" w:hAnsi="Antenna Light" w:cs="Arial"/>
          <w:color w:val="000000"/>
          <w:w w:val="103"/>
          <w:sz w:val="20"/>
          <w:szCs w:val="20"/>
        </w:rPr>
        <w:t>se ha mantenido en los primeros lugares a nivel Estatal.</w:t>
      </w:r>
    </w:p>
    <w:p w14:paraId="3B34765D" w14:textId="77777777" w:rsidR="001D097B" w:rsidRPr="001D097B" w:rsidRDefault="001D097B"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lang w:val="es-ES" w:eastAsia="es-ES"/>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3B61ED">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3B61ED">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77777777" w:rsidR="003B61ED" w:rsidRPr="001D097B" w:rsidRDefault="003B61ED" w:rsidP="003B61ED">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la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3A036B04" w14:textId="77777777" w:rsidR="003B61ED" w:rsidRPr="001D097B" w:rsidRDefault="003B61ED" w:rsidP="003B61ED">
      <w:pPr>
        <w:widowControl w:val="0"/>
        <w:autoSpaceDE w:val="0"/>
        <w:autoSpaceDN w:val="0"/>
        <w:adjustRightInd w:val="0"/>
        <w:spacing w:before="290" w:after="0"/>
        <w:ind w:left="1129" w:right="860"/>
        <w:jc w:val="both"/>
        <w:rPr>
          <w:rFonts w:ascii="Antenna Light" w:eastAsia="Times New Roman" w:hAnsi="Antenna Light" w:cs="Arial"/>
          <w:color w:val="000000"/>
          <w:spacing w:val="-1"/>
          <w:sz w:val="20"/>
          <w:szCs w:val="20"/>
          <w:lang w:val="es-ES" w:eastAsia="es-ES"/>
        </w:rPr>
      </w:pPr>
    </w:p>
    <w:p w14:paraId="302D4EFF" w14:textId="77777777" w:rsidR="003B61ED" w:rsidRPr="001D097B" w:rsidRDefault="003B61ED" w:rsidP="003B61ED">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1" w:name="Pg2"/>
      <w:bookmarkEnd w:id="1"/>
    </w:p>
    <w:p w14:paraId="553C5E9B"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3B61ED">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3B61ED">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3B61ED">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3B61ED">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3B61ED">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3B61ED">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3B61ED">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3B61ED">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3B61ED">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14:paraId="1C310EDB" w14:textId="77777777" w:rsidR="003B61ED" w:rsidRPr="001D097B" w:rsidRDefault="003B61ED" w:rsidP="003B61ED">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3B61ED">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3B61ED">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2" w:name="Pg3"/>
      <w:bookmarkEnd w:id="2"/>
    </w:p>
    <w:p w14:paraId="183D3914" w14:textId="77777777" w:rsidR="00BE7067" w:rsidRDefault="00BE7067"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7777777" w:rsidR="003B61ED" w:rsidRPr="001D097B" w:rsidRDefault="003B61ED" w:rsidP="003B61ED">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proofErr w:type="gramStart"/>
      <w:r w:rsidRPr="001D097B">
        <w:rPr>
          <w:rFonts w:ascii="Antenna Light" w:eastAsia="Times New Roman" w:hAnsi="Antenna Light" w:cs="Arial"/>
          <w:color w:val="000000"/>
          <w:w w:val="104"/>
          <w:sz w:val="20"/>
          <w:szCs w:val="20"/>
          <w:lang w:val="es-ES" w:eastAsia="es-ES"/>
        </w:rPr>
        <w:t>del egresos</w:t>
      </w:r>
      <w:proofErr w:type="gramEnd"/>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w:t>
      </w:r>
      <w:r w:rsidRPr="001D097B">
        <w:rPr>
          <w:rFonts w:ascii="Antenna Light" w:eastAsia="Times New Roman" w:hAnsi="Antenna Light" w:cs="Arial"/>
          <w:color w:val="000000"/>
          <w:spacing w:val="-1"/>
          <w:sz w:val="20"/>
          <w:szCs w:val="20"/>
          <w:lang w:val="es-ES" w:eastAsia="es-ES"/>
        </w:rPr>
        <w:lastRenderedPageBreak/>
        <w:t xml:space="preserve">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3B61ED">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3B61ED">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3B61ED">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3B61ED">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3" w:name="Pg4"/>
      <w:bookmarkEnd w:id="3"/>
    </w:p>
    <w:p w14:paraId="3342EBAD" w14:textId="77777777" w:rsidR="003B61ED" w:rsidRPr="001D097B" w:rsidRDefault="003B61ED" w:rsidP="003B61ED">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3B61ED">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3B61ED">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3B61ED">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3B61ED">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3B61ED">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3B61ED">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w:t>
      </w:r>
      <w:r w:rsidRPr="001D097B">
        <w:rPr>
          <w:rFonts w:ascii="Antenna Light" w:hAnsi="Antenna Light" w:cs="Arial"/>
          <w:color w:val="000000"/>
          <w:w w:val="103"/>
          <w:sz w:val="20"/>
          <w:szCs w:val="20"/>
        </w:rPr>
        <w:lastRenderedPageBreak/>
        <w:t xml:space="preserve">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3B61ED">
      <w:pPr>
        <w:ind w:left="1134" w:right="624"/>
        <w:jc w:val="both"/>
        <w:rPr>
          <w:rFonts w:ascii="Antenna Light" w:hAnsi="Antenna Light" w:cs="Arial"/>
          <w:b/>
          <w:sz w:val="20"/>
          <w:szCs w:val="20"/>
        </w:rPr>
      </w:pPr>
    </w:p>
    <w:p w14:paraId="26F0CFAF"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7F5C3C8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3B61ED">
      <w:pPr>
        <w:ind w:left="1134" w:right="624"/>
        <w:jc w:val="both"/>
        <w:rPr>
          <w:rFonts w:ascii="Antenna Light" w:hAnsi="Antenna Light" w:cs="Arial"/>
          <w:sz w:val="20"/>
          <w:szCs w:val="20"/>
        </w:rPr>
      </w:pPr>
    </w:p>
    <w:p w14:paraId="328B5DBD"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lastRenderedPageBreak/>
        <w:t>b) Valor activado en el ejercicio de los bienes construidos por la entidad:</w:t>
      </w:r>
    </w:p>
    <w:p w14:paraId="02D16449"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3B61ED">
      <w:pPr>
        <w:ind w:left="1134" w:right="624"/>
        <w:jc w:val="both"/>
        <w:rPr>
          <w:rFonts w:ascii="Antenna Light" w:hAnsi="Antenna Light" w:cs="Arial"/>
          <w:sz w:val="20"/>
          <w:szCs w:val="20"/>
        </w:rPr>
      </w:pPr>
    </w:p>
    <w:p w14:paraId="50973134"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sidRPr="001D097B">
        <w:rPr>
          <w:rFonts w:ascii="Antenna Light" w:hAnsi="Antenna Light" w:cs="Arial"/>
          <w:sz w:val="20"/>
          <w:szCs w:val="20"/>
        </w:rPr>
        <w:t xml:space="preserve">  número 4089637 a nombre del Municipio de Celaya/Instituto Municipal de Vivienda</w:t>
      </w:r>
    </w:p>
    <w:p w14:paraId="02EB5C0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val="es-ES" w:eastAsia="es-ES"/>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264B3A9"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0C4D1F2F"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val="es-ES" w:eastAsia="es-ES"/>
        </w:rPr>
        <mc:AlternateContent>
          <mc:Choice Requires="wps">
            <w:drawing>
              <wp:anchor distT="0" distB="0" distL="114300" distR="114300" simplePos="0" relativeHeight="251660288" behindDoc="1" locked="0" layoutInCell="0" allowOverlap="1" wp14:anchorId="4105E137" wp14:editId="199DD160">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4C5D5" id="WordArt 2" o:spid="_x0000_s1026" type="#_x0000_t202" style="position:absolute;margin-left:25.55pt;margin-top:215.95pt;width:397.55pt;height:66.75pt;rotation:-2809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1D097B">
        <w:rPr>
          <w:rFonts w:ascii="Antenna Light" w:hAnsi="Antenna Light" w:cs="Arial"/>
          <w:sz w:val="20"/>
          <w:szCs w:val="20"/>
        </w:rPr>
        <w:t xml:space="preserve"> de Inversión y Administración para el Fortalecimiento de la Seguridad Ciudadana número 18447.</w:t>
      </w:r>
    </w:p>
    <w:p w14:paraId="05B1F7D0" w14:textId="77777777" w:rsidR="00261F55" w:rsidRPr="001D097B" w:rsidRDefault="00261F55"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177CA0B6"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0B5DB933"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1BBD7043"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07E3A5D7"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035CCC60"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50AB1B07"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4C4B9104"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4FC79F66"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47220D66"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4F954B36"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375615B8"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115E55B"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5E8CC3DA" w14:textId="77777777" w:rsidR="00EB7D39" w:rsidRDefault="00EB7D39"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600C9A6A" w:rsidR="003B61ED" w:rsidRPr="001D097B" w:rsidRDefault="003B61ED"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3"/>
        <w:gridCol w:w="1164"/>
        <w:gridCol w:w="1030"/>
      </w:tblGrid>
      <w:tr w:rsidR="00EB7D39" w:rsidRPr="00EB7D39" w14:paraId="1D3A0515" w14:textId="77777777" w:rsidTr="00EB7D39">
        <w:trPr>
          <w:trHeight w:val="518"/>
        </w:trPr>
        <w:tc>
          <w:tcPr>
            <w:tcW w:w="0" w:type="auto"/>
            <w:gridSpan w:val="3"/>
            <w:shd w:val="clear" w:color="000000" w:fill="305496"/>
            <w:vAlign w:val="center"/>
            <w:hideMark/>
          </w:tcPr>
          <w:p w14:paraId="609708D0" w14:textId="57A1821E"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MUNICIPIO DE CELAYA GUANAJUATO</w:t>
            </w:r>
            <w:r w:rsidRPr="00EB7D39">
              <w:rPr>
                <w:rFonts w:ascii="Arial" w:eastAsia="Times New Roman" w:hAnsi="Arial" w:cs="Arial"/>
                <w:b/>
                <w:bCs/>
                <w:color w:val="FFFFFF"/>
                <w:sz w:val="16"/>
                <w:szCs w:val="16"/>
                <w:lang w:eastAsia="es-MX"/>
              </w:rPr>
              <w:br/>
              <w:t>Estado Analítico de Ingresos</w:t>
            </w:r>
            <w:r w:rsidRPr="00EB7D39">
              <w:rPr>
                <w:rFonts w:ascii="Arial" w:eastAsia="Times New Roman" w:hAnsi="Arial" w:cs="Arial"/>
                <w:b/>
                <w:bCs/>
                <w:color w:val="FFFFFF"/>
                <w:sz w:val="16"/>
                <w:szCs w:val="16"/>
                <w:lang w:eastAsia="es-MX"/>
              </w:rPr>
              <w:br/>
              <w:t>al 31 de marzo del 2020</w:t>
            </w:r>
          </w:p>
        </w:tc>
      </w:tr>
      <w:tr w:rsidR="00EB7D39" w:rsidRPr="00EB7D39" w14:paraId="3BDF56B0" w14:textId="77777777" w:rsidTr="00EB7D39">
        <w:trPr>
          <w:trHeight w:val="300"/>
        </w:trPr>
        <w:tc>
          <w:tcPr>
            <w:tcW w:w="0" w:type="auto"/>
            <w:vMerge w:val="restart"/>
            <w:shd w:val="clear" w:color="000000" w:fill="203764"/>
            <w:noWrap/>
            <w:vAlign w:val="center"/>
            <w:hideMark/>
          </w:tcPr>
          <w:p w14:paraId="55E1B139" w14:textId="77777777"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Rubro de Ingresos</w:t>
            </w:r>
          </w:p>
        </w:tc>
        <w:tc>
          <w:tcPr>
            <w:tcW w:w="0" w:type="auto"/>
            <w:gridSpan w:val="2"/>
            <w:shd w:val="clear" w:color="000000" w:fill="203764"/>
            <w:vAlign w:val="center"/>
            <w:hideMark/>
          </w:tcPr>
          <w:p w14:paraId="4E58B332" w14:textId="77777777"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 </w:t>
            </w:r>
          </w:p>
        </w:tc>
      </w:tr>
      <w:tr w:rsidR="00EB7D39" w:rsidRPr="00EB7D39" w14:paraId="79CCFA8E" w14:textId="77777777" w:rsidTr="00EB7D39">
        <w:trPr>
          <w:trHeight w:val="300"/>
        </w:trPr>
        <w:tc>
          <w:tcPr>
            <w:tcW w:w="0" w:type="auto"/>
            <w:vMerge/>
            <w:vAlign w:val="center"/>
            <w:hideMark/>
          </w:tcPr>
          <w:p w14:paraId="020D6965" w14:textId="77777777" w:rsidR="00EB7D39" w:rsidRPr="00EB7D39" w:rsidRDefault="00EB7D39" w:rsidP="00EB7D39">
            <w:pPr>
              <w:spacing w:after="0" w:line="240" w:lineRule="auto"/>
              <w:rPr>
                <w:rFonts w:ascii="Arial" w:eastAsia="Times New Roman" w:hAnsi="Arial" w:cs="Arial"/>
                <w:b/>
                <w:bCs/>
                <w:color w:val="FFFFFF"/>
                <w:sz w:val="16"/>
                <w:szCs w:val="16"/>
                <w:lang w:eastAsia="es-MX"/>
              </w:rPr>
            </w:pPr>
          </w:p>
        </w:tc>
        <w:tc>
          <w:tcPr>
            <w:tcW w:w="0" w:type="auto"/>
            <w:shd w:val="clear" w:color="000000" w:fill="203764"/>
            <w:vAlign w:val="center"/>
            <w:hideMark/>
          </w:tcPr>
          <w:p w14:paraId="5790F7CB" w14:textId="77777777"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Modificado</w:t>
            </w:r>
          </w:p>
        </w:tc>
        <w:tc>
          <w:tcPr>
            <w:tcW w:w="0" w:type="auto"/>
            <w:shd w:val="clear" w:color="000000" w:fill="203764"/>
            <w:vAlign w:val="center"/>
            <w:hideMark/>
          </w:tcPr>
          <w:p w14:paraId="6F7F181D" w14:textId="77777777"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Devengado</w:t>
            </w:r>
          </w:p>
        </w:tc>
      </w:tr>
      <w:tr w:rsidR="00EB7D39" w:rsidRPr="00EB7D39" w14:paraId="0834B8DF" w14:textId="77777777" w:rsidTr="00EB7D39">
        <w:trPr>
          <w:trHeight w:val="70"/>
        </w:trPr>
        <w:tc>
          <w:tcPr>
            <w:tcW w:w="0" w:type="auto"/>
            <w:vMerge/>
            <w:vAlign w:val="center"/>
            <w:hideMark/>
          </w:tcPr>
          <w:p w14:paraId="47B51AB0" w14:textId="77777777" w:rsidR="00EB7D39" w:rsidRPr="00EB7D39" w:rsidRDefault="00EB7D39" w:rsidP="00EB7D39">
            <w:pPr>
              <w:spacing w:after="0" w:line="240" w:lineRule="auto"/>
              <w:rPr>
                <w:rFonts w:ascii="Arial" w:eastAsia="Times New Roman" w:hAnsi="Arial" w:cs="Arial"/>
                <w:b/>
                <w:bCs/>
                <w:color w:val="FFFFFF"/>
                <w:sz w:val="16"/>
                <w:szCs w:val="16"/>
                <w:lang w:eastAsia="es-MX"/>
              </w:rPr>
            </w:pPr>
          </w:p>
        </w:tc>
        <w:tc>
          <w:tcPr>
            <w:tcW w:w="0" w:type="auto"/>
            <w:shd w:val="clear" w:color="000000" w:fill="203764"/>
            <w:vAlign w:val="center"/>
            <w:hideMark/>
          </w:tcPr>
          <w:p w14:paraId="09CDAA95" w14:textId="77777777"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 </w:t>
            </w:r>
          </w:p>
        </w:tc>
        <w:tc>
          <w:tcPr>
            <w:tcW w:w="0" w:type="auto"/>
            <w:shd w:val="clear" w:color="000000" w:fill="203764"/>
            <w:vAlign w:val="center"/>
            <w:hideMark/>
          </w:tcPr>
          <w:p w14:paraId="3215C509" w14:textId="77777777" w:rsidR="00EB7D39" w:rsidRPr="00EB7D39" w:rsidRDefault="00EB7D39" w:rsidP="00EB7D39">
            <w:pPr>
              <w:spacing w:after="0" w:line="240" w:lineRule="auto"/>
              <w:jc w:val="center"/>
              <w:rPr>
                <w:rFonts w:ascii="Arial" w:eastAsia="Times New Roman" w:hAnsi="Arial" w:cs="Arial"/>
                <w:b/>
                <w:bCs/>
                <w:color w:val="FFFFFF"/>
                <w:sz w:val="16"/>
                <w:szCs w:val="16"/>
                <w:lang w:eastAsia="es-MX"/>
              </w:rPr>
            </w:pPr>
            <w:r w:rsidRPr="00EB7D39">
              <w:rPr>
                <w:rFonts w:ascii="Arial" w:eastAsia="Times New Roman" w:hAnsi="Arial" w:cs="Arial"/>
                <w:b/>
                <w:bCs/>
                <w:color w:val="FFFFFF"/>
                <w:sz w:val="16"/>
                <w:szCs w:val="16"/>
                <w:lang w:eastAsia="es-MX"/>
              </w:rPr>
              <w:t> </w:t>
            </w:r>
          </w:p>
        </w:tc>
      </w:tr>
      <w:tr w:rsidR="00EB7D39" w:rsidRPr="00EB7D39" w14:paraId="5D917C5B" w14:textId="77777777" w:rsidTr="00EB7D39">
        <w:trPr>
          <w:trHeight w:val="300"/>
        </w:trPr>
        <w:tc>
          <w:tcPr>
            <w:tcW w:w="0" w:type="auto"/>
            <w:shd w:val="clear" w:color="auto" w:fill="auto"/>
            <w:hideMark/>
          </w:tcPr>
          <w:p w14:paraId="69A50B3E" w14:textId="77777777" w:rsidR="00EB7D39" w:rsidRPr="00EB7D39" w:rsidRDefault="00EB7D39" w:rsidP="00EB7D39">
            <w:pPr>
              <w:spacing w:after="0" w:line="240" w:lineRule="auto"/>
              <w:rPr>
                <w:rFonts w:ascii="Arial" w:eastAsia="Times New Roman" w:hAnsi="Arial" w:cs="Arial"/>
                <w:color w:val="000000"/>
                <w:sz w:val="16"/>
                <w:szCs w:val="16"/>
                <w:lang w:eastAsia="es-MX"/>
              </w:rPr>
            </w:pPr>
            <w:r w:rsidRPr="00EB7D39">
              <w:rPr>
                <w:rFonts w:ascii="Arial" w:eastAsia="Times New Roman" w:hAnsi="Arial" w:cs="Arial"/>
                <w:color w:val="000000"/>
                <w:sz w:val="16"/>
                <w:szCs w:val="16"/>
                <w:lang w:eastAsia="es-MX"/>
              </w:rPr>
              <w:t>Impuestos</w:t>
            </w:r>
          </w:p>
        </w:tc>
        <w:tc>
          <w:tcPr>
            <w:tcW w:w="0" w:type="auto"/>
            <w:shd w:val="clear" w:color="auto" w:fill="auto"/>
            <w:noWrap/>
            <w:hideMark/>
          </w:tcPr>
          <w:p w14:paraId="7BAD2741"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350,431,001</w:t>
            </w:r>
          </w:p>
        </w:tc>
        <w:tc>
          <w:tcPr>
            <w:tcW w:w="0" w:type="auto"/>
            <w:shd w:val="clear" w:color="auto" w:fill="auto"/>
            <w:noWrap/>
            <w:hideMark/>
          </w:tcPr>
          <w:p w14:paraId="3CC7F1BC"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220,892,105</w:t>
            </w:r>
          </w:p>
        </w:tc>
      </w:tr>
      <w:tr w:rsidR="00EB7D39" w:rsidRPr="00EB7D39" w14:paraId="7540C318" w14:textId="77777777" w:rsidTr="00EB7D39">
        <w:trPr>
          <w:trHeight w:val="300"/>
        </w:trPr>
        <w:tc>
          <w:tcPr>
            <w:tcW w:w="0" w:type="auto"/>
            <w:shd w:val="clear" w:color="auto" w:fill="auto"/>
            <w:hideMark/>
          </w:tcPr>
          <w:p w14:paraId="315C9EB4" w14:textId="77777777" w:rsidR="00EB7D39" w:rsidRPr="00EB7D39" w:rsidRDefault="00EB7D39" w:rsidP="00EB7D39">
            <w:pPr>
              <w:spacing w:after="0" w:line="240" w:lineRule="auto"/>
              <w:rPr>
                <w:rFonts w:ascii="Arial" w:eastAsia="Times New Roman" w:hAnsi="Arial" w:cs="Arial"/>
                <w:color w:val="000000"/>
                <w:sz w:val="16"/>
                <w:szCs w:val="16"/>
                <w:lang w:eastAsia="es-MX"/>
              </w:rPr>
            </w:pPr>
            <w:r w:rsidRPr="00EB7D39">
              <w:rPr>
                <w:rFonts w:ascii="Arial" w:eastAsia="Times New Roman" w:hAnsi="Arial" w:cs="Arial"/>
                <w:color w:val="000000"/>
                <w:sz w:val="16"/>
                <w:szCs w:val="16"/>
                <w:lang w:eastAsia="es-MX"/>
              </w:rPr>
              <w:t>Contribuciones de Mejoras</w:t>
            </w:r>
          </w:p>
        </w:tc>
        <w:tc>
          <w:tcPr>
            <w:tcW w:w="0" w:type="auto"/>
            <w:shd w:val="clear" w:color="auto" w:fill="auto"/>
            <w:noWrap/>
            <w:hideMark/>
          </w:tcPr>
          <w:p w14:paraId="49412B98"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1,900,000</w:t>
            </w:r>
          </w:p>
        </w:tc>
        <w:tc>
          <w:tcPr>
            <w:tcW w:w="0" w:type="auto"/>
            <w:shd w:val="clear" w:color="auto" w:fill="auto"/>
            <w:noWrap/>
            <w:hideMark/>
          </w:tcPr>
          <w:p w14:paraId="643235A4"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127,815</w:t>
            </w:r>
          </w:p>
        </w:tc>
      </w:tr>
      <w:tr w:rsidR="00EB7D39" w:rsidRPr="00EB7D39" w14:paraId="6D24C6AD" w14:textId="77777777" w:rsidTr="00EB7D39">
        <w:trPr>
          <w:trHeight w:val="300"/>
        </w:trPr>
        <w:tc>
          <w:tcPr>
            <w:tcW w:w="0" w:type="auto"/>
            <w:shd w:val="clear" w:color="auto" w:fill="auto"/>
            <w:hideMark/>
          </w:tcPr>
          <w:p w14:paraId="50896CD9" w14:textId="77777777" w:rsidR="00EB7D39" w:rsidRPr="00EB7D39" w:rsidRDefault="00EB7D39" w:rsidP="00EB7D39">
            <w:pPr>
              <w:spacing w:after="0" w:line="240" w:lineRule="auto"/>
              <w:rPr>
                <w:rFonts w:ascii="Arial" w:eastAsia="Times New Roman" w:hAnsi="Arial" w:cs="Arial"/>
                <w:color w:val="000000"/>
                <w:sz w:val="16"/>
                <w:szCs w:val="16"/>
                <w:lang w:eastAsia="es-MX"/>
              </w:rPr>
            </w:pPr>
            <w:r w:rsidRPr="00EB7D39">
              <w:rPr>
                <w:rFonts w:ascii="Arial" w:eastAsia="Times New Roman" w:hAnsi="Arial" w:cs="Arial"/>
                <w:color w:val="000000"/>
                <w:sz w:val="16"/>
                <w:szCs w:val="16"/>
                <w:lang w:eastAsia="es-MX"/>
              </w:rPr>
              <w:t>Derechos</w:t>
            </w:r>
          </w:p>
        </w:tc>
        <w:tc>
          <w:tcPr>
            <w:tcW w:w="0" w:type="auto"/>
            <w:shd w:val="clear" w:color="auto" w:fill="auto"/>
            <w:noWrap/>
            <w:hideMark/>
          </w:tcPr>
          <w:p w14:paraId="4321A7DC"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183,855,179</w:t>
            </w:r>
          </w:p>
        </w:tc>
        <w:tc>
          <w:tcPr>
            <w:tcW w:w="0" w:type="auto"/>
            <w:shd w:val="clear" w:color="auto" w:fill="auto"/>
            <w:noWrap/>
            <w:hideMark/>
          </w:tcPr>
          <w:p w14:paraId="7D317364"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37,220,772</w:t>
            </w:r>
          </w:p>
        </w:tc>
      </w:tr>
      <w:tr w:rsidR="00EB7D39" w:rsidRPr="00EB7D39" w14:paraId="02F9B853" w14:textId="77777777" w:rsidTr="00EB7D39">
        <w:trPr>
          <w:trHeight w:val="300"/>
        </w:trPr>
        <w:tc>
          <w:tcPr>
            <w:tcW w:w="0" w:type="auto"/>
            <w:shd w:val="clear" w:color="auto" w:fill="auto"/>
            <w:hideMark/>
          </w:tcPr>
          <w:p w14:paraId="36E6C4B9" w14:textId="77777777" w:rsidR="00EB7D39" w:rsidRPr="00EB7D39" w:rsidRDefault="00EB7D39" w:rsidP="00EB7D39">
            <w:pPr>
              <w:spacing w:after="0" w:line="240" w:lineRule="auto"/>
              <w:rPr>
                <w:rFonts w:ascii="Arial" w:eastAsia="Times New Roman" w:hAnsi="Arial" w:cs="Arial"/>
                <w:color w:val="000000"/>
                <w:sz w:val="16"/>
                <w:szCs w:val="16"/>
                <w:lang w:eastAsia="es-MX"/>
              </w:rPr>
            </w:pPr>
            <w:r w:rsidRPr="00EB7D39">
              <w:rPr>
                <w:rFonts w:ascii="Arial" w:eastAsia="Times New Roman" w:hAnsi="Arial" w:cs="Arial"/>
                <w:color w:val="000000"/>
                <w:sz w:val="16"/>
                <w:szCs w:val="16"/>
                <w:lang w:eastAsia="es-MX"/>
              </w:rPr>
              <w:t>Productos</w:t>
            </w:r>
          </w:p>
        </w:tc>
        <w:tc>
          <w:tcPr>
            <w:tcW w:w="0" w:type="auto"/>
            <w:shd w:val="clear" w:color="auto" w:fill="auto"/>
            <w:noWrap/>
            <w:hideMark/>
          </w:tcPr>
          <w:p w14:paraId="4E15BA02"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25,141,738</w:t>
            </w:r>
          </w:p>
        </w:tc>
        <w:tc>
          <w:tcPr>
            <w:tcW w:w="0" w:type="auto"/>
            <w:shd w:val="clear" w:color="auto" w:fill="auto"/>
            <w:noWrap/>
            <w:hideMark/>
          </w:tcPr>
          <w:p w14:paraId="328DBF89"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6,221,388</w:t>
            </w:r>
          </w:p>
        </w:tc>
      </w:tr>
      <w:tr w:rsidR="00EB7D39" w:rsidRPr="00EB7D39" w14:paraId="524115D7" w14:textId="77777777" w:rsidTr="00EB7D39">
        <w:trPr>
          <w:trHeight w:val="300"/>
        </w:trPr>
        <w:tc>
          <w:tcPr>
            <w:tcW w:w="0" w:type="auto"/>
            <w:shd w:val="clear" w:color="auto" w:fill="auto"/>
            <w:hideMark/>
          </w:tcPr>
          <w:p w14:paraId="4120FB8E" w14:textId="77777777" w:rsidR="00EB7D39" w:rsidRPr="00EB7D39" w:rsidRDefault="00EB7D39" w:rsidP="00EB7D39">
            <w:pPr>
              <w:spacing w:after="0" w:line="240" w:lineRule="auto"/>
              <w:rPr>
                <w:rFonts w:ascii="Arial" w:eastAsia="Times New Roman" w:hAnsi="Arial" w:cs="Arial"/>
                <w:sz w:val="16"/>
                <w:szCs w:val="16"/>
                <w:lang w:eastAsia="es-MX"/>
              </w:rPr>
            </w:pPr>
            <w:r w:rsidRPr="00EB7D39">
              <w:rPr>
                <w:rFonts w:ascii="Arial" w:eastAsia="Times New Roman" w:hAnsi="Arial" w:cs="Arial"/>
                <w:sz w:val="16"/>
                <w:szCs w:val="16"/>
                <w:lang w:eastAsia="es-MX"/>
              </w:rPr>
              <w:t>Aprovechamientos</w:t>
            </w:r>
          </w:p>
        </w:tc>
        <w:tc>
          <w:tcPr>
            <w:tcW w:w="0" w:type="auto"/>
            <w:shd w:val="clear" w:color="auto" w:fill="auto"/>
            <w:noWrap/>
            <w:hideMark/>
          </w:tcPr>
          <w:p w14:paraId="295F414B"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79,191,576</w:t>
            </w:r>
          </w:p>
        </w:tc>
        <w:tc>
          <w:tcPr>
            <w:tcW w:w="0" w:type="auto"/>
            <w:shd w:val="clear" w:color="auto" w:fill="auto"/>
            <w:noWrap/>
            <w:hideMark/>
          </w:tcPr>
          <w:p w14:paraId="4658A865"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18,849,105</w:t>
            </w:r>
          </w:p>
        </w:tc>
      </w:tr>
      <w:tr w:rsidR="00EB7D39" w:rsidRPr="00EB7D39" w14:paraId="005E100C" w14:textId="77777777" w:rsidTr="00EB7D39">
        <w:trPr>
          <w:trHeight w:val="900"/>
        </w:trPr>
        <w:tc>
          <w:tcPr>
            <w:tcW w:w="0" w:type="auto"/>
            <w:shd w:val="clear" w:color="auto" w:fill="auto"/>
            <w:hideMark/>
          </w:tcPr>
          <w:p w14:paraId="25EFA935" w14:textId="77777777" w:rsidR="00EB7D39" w:rsidRPr="00EB7D39" w:rsidRDefault="00EB7D39" w:rsidP="00EB7D39">
            <w:pPr>
              <w:spacing w:after="0" w:line="240" w:lineRule="auto"/>
              <w:rPr>
                <w:rFonts w:ascii="Arial" w:eastAsia="Times New Roman" w:hAnsi="Arial" w:cs="Arial"/>
                <w:color w:val="000000"/>
                <w:sz w:val="16"/>
                <w:szCs w:val="16"/>
                <w:lang w:eastAsia="es-MX"/>
              </w:rPr>
            </w:pPr>
            <w:r w:rsidRPr="00EB7D39">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0" w:type="auto"/>
            <w:shd w:val="clear" w:color="auto" w:fill="auto"/>
            <w:noWrap/>
            <w:hideMark/>
          </w:tcPr>
          <w:p w14:paraId="763B1065"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1,113,043,796</w:t>
            </w:r>
          </w:p>
        </w:tc>
        <w:tc>
          <w:tcPr>
            <w:tcW w:w="0" w:type="auto"/>
            <w:shd w:val="clear" w:color="auto" w:fill="auto"/>
            <w:noWrap/>
            <w:hideMark/>
          </w:tcPr>
          <w:p w14:paraId="52F0F118"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305,217,372</w:t>
            </w:r>
          </w:p>
        </w:tc>
      </w:tr>
      <w:tr w:rsidR="00EB7D39" w:rsidRPr="00EB7D39" w14:paraId="14A577CC" w14:textId="77777777" w:rsidTr="00EB7D39">
        <w:trPr>
          <w:trHeight w:val="300"/>
        </w:trPr>
        <w:tc>
          <w:tcPr>
            <w:tcW w:w="0" w:type="auto"/>
            <w:shd w:val="clear" w:color="auto" w:fill="auto"/>
            <w:hideMark/>
          </w:tcPr>
          <w:p w14:paraId="339A462C" w14:textId="77777777" w:rsidR="00EB7D39" w:rsidRPr="00EB7D39" w:rsidRDefault="00EB7D39" w:rsidP="00EB7D39">
            <w:pPr>
              <w:spacing w:after="0" w:line="240" w:lineRule="auto"/>
              <w:rPr>
                <w:rFonts w:ascii="Arial" w:eastAsia="Times New Roman" w:hAnsi="Arial" w:cs="Arial"/>
                <w:color w:val="000000"/>
                <w:sz w:val="16"/>
                <w:szCs w:val="16"/>
                <w:lang w:eastAsia="es-MX"/>
              </w:rPr>
            </w:pPr>
            <w:r w:rsidRPr="00EB7D39">
              <w:rPr>
                <w:rFonts w:ascii="Arial" w:eastAsia="Times New Roman" w:hAnsi="Arial" w:cs="Arial"/>
                <w:color w:val="000000"/>
                <w:sz w:val="16"/>
                <w:szCs w:val="16"/>
                <w:lang w:eastAsia="es-MX"/>
              </w:rPr>
              <w:t>Ingresos Derivados de Financiamientos</w:t>
            </w:r>
          </w:p>
        </w:tc>
        <w:tc>
          <w:tcPr>
            <w:tcW w:w="0" w:type="auto"/>
            <w:shd w:val="clear" w:color="auto" w:fill="auto"/>
            <w:noWrap/>
            <w:hideMark/>
          </w:tcPr>
          <w:p w14:paraId="4082C719"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285,936,691</w:t>
            </w:r>
          </w:p>
        </w:tc>
        <w:tc>
          <w:tcPr>
            <w:tcW w:w="0" w:type="auto"/>
            <w:shd w:val="clear" w:color="auto" w:fill="auto"/>
            <w:noWrap/>
            <w:hideMark/>
          </w:tcPr>
          <w:p w14:paraId="741CEC63"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59,755,477</w:t>
            </w:r>
          </w:p>
        </w:tc>
      </w:tr>
      <w:tr w:rsidR="00EB7D39" w:rsidRPr="00EB7D39" w14:paraId="62541F1E" w14:textId="77777777" w:rsidTr="00EB7D39">
        <w:trPr>
          <w:trHeight w:val="300"/>
        </w:trPr>
        <w:tc>
          <w:tcPr>
            <w:tcW w:w="0" w:type="auto"/>
            <w:shd w:val="clear" w:color="auto" w:fill="auto"/>
            <w:noWrap/>
            <w:hideMark/>
          </w:tcPr>
          <w:p w14:paraId="2AF17AE4" w14:textId="77777777" w:rsidR="00EB7D39" w:rsidRPr="00EB7D39" w:rsidRDefault="00EB7D39" w:rsidP="00EB7D39">
            <w:pPr>
              <w:spacing w:after="0" w:line="240" w:lineRule="auto"/>
              <w:ind w:firstLineChars="300" w:firstLine="482"/>
              <w:rPr>
                <w:rFonts w:ascii="Arial" w:eastAsia="Times New Roman" w:hAnsi="Arial" w:cs="Arial"/>
                <w:b/>
                <w:bCs/>
                <w:sz w:val="16"/>
                <w:szCs w:val="16"/>
                <w:lang w:eastAsia="es-MX"/>
              </w:rPr>
            </w:pPr>
            <w:r w:rsidRPr="00EB7D39">
              <w:rPr>
                <w:rFonts w:ascii="Arial" w:eastAsia="Times New Roman" w:hAnsi="Arial" w:cs="Arial"/>
                <w:b/>
                <w:bCs/>
                <w:sz w:val="16"/>
                <w:szCs w:val="16"/>
                <w:lang w:eastAsia="es-MX"/>
              </w:rPr>
              <w:t>Total</w:t>
            </w:r>
          </w:p>
        </w:tc>
        <w:tc>
          <w:tcPr>
            <w:tcW w:w="0" w:type="auto"/>
            <w:shd w:val="clear" w:color="auto" w:fill="auto"/>
            <w:noWrap/>
            <w:hideMark/>
          </w:tcPr>
          <w:p w14:paraId="0D0455FF"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2,039,499,982</w:t>
            </w:r>
          </w:p>
        </w:tc>
        <w:tc>
          <w:tcPr>
            <w:tcW w:w="0" w:type="auto"/>
            <w:shd w:val="clear" w:color="auto" w:fill="auto"/>
            <w:noWrap/>
            <w:hideMark/>
          </w:tcPr>
          <w:p w14:paraId="7A63D0F4" w14:textId="77777777" w:rsidR="00EB7D39" w:rsidRPr="00EB7D39" w:rsidRDefault="00EB7D39" w:rsidP="00EB7D39">
            <w:pPr>
              <w:spacing w:after="0" w:line="240" w:lineRule="auto"/>
              <w:jc w:val="right"/>
              <w:rPr>
                <w:rFonts w:ascii="Arial" w:eastAsia="Times New Roman" w:hAnsi="Arial" w:cs="Arial"/>
                <w:sz w:val="16"/>
                <w:szCs w:val="16"/>
                <w:lang w:eastAsia="es-MX"/>
              </w:rPr>
            </w:pPr>
            <w:r w:rsidRPr="00EB7D39">
              <w:rPr>
                <w:rFonts w:ascii="Arial" w:eastAsia="Times New Roman" w:hAnsi="Arial" w:cs="Arial"/>
                <w:sz w:val="16"/>
                <w:szCs w:val="16"/>
                <w:lang w:eastAsia="es-MX"/>
              </w:rPr>
              <w:t>648,284,034</w:t>
            </w:r>
          </w:p>
        </w:tc>
      </w:tr>
    </w:tbl>
    <w:p w14:paraId="367E0E01"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77777777" w:rsidR="003B61ED" w:rsidRPr="001D097B" w:rsidRDefault="003B61ED" w:rsidP="00BE7067">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color w:val="000000"/>
          <w:w w:val="105"/>
          <w:sz w:val="20"/>
          <w:szCs w:val="20"/>
          <w:lang w:eastAsia="es-ES"/>
        </w:rPr>
        <w:t xml:space="preserve"> </w:t>
      </w: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3B61ED">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3B61ED">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3B61ED">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36F0E4ED" w:rsidR="003B61ED" w:rsidRPr="001D097B" w:rsidRDefault="003B61ED" w:rsidP="003B61ED">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mediante el </w:t>
      </w:r>
      <w:proofErr w:type="spellStart"/>
      <w:r w:rsidRPr="001D097B">
        <w:rPr>
          <w:rFonts w:ascii="Antenna Light" w:eastAsia="Times New Roman" w:hAnsi="Antenna Light" w:cs="Arial"/>
          <w:color w:val="000000"/>
          <w:w w:val="105"/>
          <w:sz w:val="20"/>
          <w:szCs w:val="20"/>
          <w:lang w:val="es-ES" w:eastAsia="es-ES"/>
        </w:rPr>
        <w:t>cuál</w:t>
      </w:r>
      <w:proofErr w:type="spellEnd"/>
      <w:r w:rsidRPr="001D097B">
        <w:rPr>
          <w:rFonts w:ascii="Antenna Light" w:eastAsia="Times New Roman" w:hAnsi="Antenna Light" w:cs="Arial"/>
          <w:color w:val="000000"/>
          <w:w w:val="105"/>
          <w:sz w:val="20"/>
          <w:szCs w:val="20"/>
          <w:lang w:val="es-ES" w:eastAsia="es-ES"/>
        </w:rPr>
        <w:t xml:space="preserve"> el H. Congreso del Estado,  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para destinarse a la participación municipal al programa Estatal de Impulso a la Reconstrucción del Tejido Social.  Y que desde su contratación al periodo que se </w:t>
      </w:r>
      <w:proofErr w:type="gramStart"/>
      <w:r w:rsidRPr="001D097B">
        <w:rPr>
          <w:rFonts w:ascii="Antenna Light" w:eastAsia="Times New Roman" w:hAnsi="Antenna Light" w:cs="Arial"/>
          <w:color w:val="000000"/>
          <w:w w:val="105"/>
          <w:sz w:val="20"/>
          <w:szCs w:val="20"/>
          <w:lang w:val="es-ES" w:eastAsia="es-ES"/>
        </w:rPr>
        <w:t>reporta,  se</w:t>
      </w:r>
      <w:proofErr w:type="gramEnd"/>
      <w:r w:rsidRPr="001D097B">
        <w:rPr>
          <w:rFonts w:ascii="Antenna Light" w:eastAsia="Times New Roman" w:hAnsi="Antenna Light" w:cs="Arial"/>
          <w:color w:val="000000"/>
          <w:w w:val="105"/>
          <w:sz w:val="20"/>
          <w:szCs w:val="20"/>
          <w:lang w:val="es-ES" w:eastAsia="es-ES"/>
        </w:rPr>
        <w:t xml:space="preserv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w:t>
      </w:r>
      <w:proofErr w:type="gramStart"/>
      <w:r w:rsidRPr="001D097B">
        <w:rPr>
          <w:rFonts w:ascii="Antenna Light" w:eastAsia="Times New Roman" w:hAnsi="Antenna Light" w:cs="Arial"/>
          <w:color w:val="000000"/>
          <w:w w:val="105"/>
          <w:sz w:val="20"/>
          <w:szCs w:val="20"/>
          <w:lang w:val="es-ES" w:eastAsia="es-ES"/>
        </w:rPr>
        <w:t>pagar  al</w:t>
      </w:r>
      <w:proofErr w:type="gramEnd"/>
      <w:r w:rsidRPr="001D097B">
        <w:rPr>
          <w:rFonts w:ascii="Antenna Light" w:eastAsia="Times New Roman" w:hAnsi="Antenna Light" w:cs="Arial"/>
          <w:color w:val="000000"/>
          <w:w w:val="105"/>
          <w:sz w:val="20"/>
          <w:szCs w:val="20"/>
          <w:lang w:val="es-ES" w:eastAsia="es-ES"/>
        </w:rPr>
        <w:t xml:space="preserve"> cierre del periodo que se reporta es de  2</w:t>
      </w:r>
      <w:r w:rsidR="00EB7D39">
        <w:rPr>
          <w:rFonts w:ascii="Antenna Light" w:eastAsia="Times New Roman" w:hAnsi="Antenna Light" w:cs="Arial"/>
          <w:color w:val="000000"/>
          <w:w w:val="105"/>
          <w:sz w:val="20"/>
          <w:szCs w:val="20"/>
          <w:lang w:val="es-ES" w:eastAsia="es-ES"/>
        </w:rPr>
        <w:t>58</w:t>
      </w:r>
      <w:r w:rsidRPr="001D097B">
        <w:rPr>
          <w:rFonts w:ascii="Antenna Light" w:eastAsia="Times New Roman" w:hAnsi="Antenna Light" w:cs="Arial"/>
          <w:color w:val="000000"/>
          <w:w w:val="105"/>
          <w:sz w:val="20"/>
          <w:szCs w:val="20"/>
          <w:lang w:val="es-ES" w:eastAsia="es-ES"/>
        </w:rPr>
        <w:t>.</w:t>
      </w:r>
      <w:r w:rsidR="00EB7D39">
        <w:rPr>
          <w:rFonts w:ascii="Antenna Light" w:eastAsia="Times New Roman" w:hAnsi="Antenna Light" w:cs="Arial"/>
          <w:color w:val="000000"/>
          <w:w w:val="105"/>
          <w:sz w:val="20"/>
          <w:szCs w:val="20"/>
          <w:lang w:val="es-ES" w:eastAsia="es-ES"/>
        </w:rPr>
        <w:t>36</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6F99A2A8" w14:textId="77777777" w:rsidR="003B61ED" w:rsidRPr="001D097B" w:rsidRDefault="003B61ED" w:rsidP="003B61ED">
      <w:pPr>
        <w:widowControl w:val="0"/>
        <w:autoSpaceDE w:val="0"/>
        <w:autoSpaceDN w:val="0"/>
        <w:adjustRightInd w:val="0"/>
        <w:spacing w:before="278" w:after="0" w:line="240" w:lineRule="auto"/>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w w:val="110"/>
          <w:sz w:val="20"/>
          <w:szCs w:val="20"/>
          <w:lang w:val="es-ES" w:eastAsia="es-ES"/>
        </w:rPr>
        <w:t>Es importante, mencionar, que con fecha 05 de junio de 2019,</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 Fitch Ratings, emitió  la calificación a este crédito, asignándole el nivel de “AA (</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 xml:space="preserve">)”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14:paraId="7401ED61" w14:textId="77777777" w:rsidR="003B61ED" w:rsidRPr="001D097B" w:rsidRDefault="003B61ED" w:rsidP="003B61ED">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08FCA73D" w14:textId="77777777"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3B61ED">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3B61ED">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3B61ED">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028BE632" w14:textId="77777777" w:rsidR="00EB7D39" w:rsidRDefault="00EB7D39"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p>
    <w:p w14:paraId="4EC60212" w14:textId="2E33568B"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lastRenderedPageBreak/>
        <w:t>PARTES RELACIONADAS</w:t>
      </w:r>
    </w:p>
    <w:p w14:paraId="1D4A5B10" w14:textId="77777777" w:rsidR="003B61ED" w:rsidRPr="001D097B" w:rsidRDefault="003B61ED" w:rsidP="003B61ED">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  con  partes relacionadas que pudieran ejercer influencia sobre la toma de decisiones financieras y operativas.</w:t>
      </w:r>
    </w:p>
    <w:p w14:paraId="48942537"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3B61ED">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3B61ED">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3B61ED">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3B61ED">
      <w:pPr>
        <w:spacing w:after="0" w:line="240" w:lineRule="auto"/>
        <w:jc w:val="both"/>
        <w:rPr>
          <w:rFonts w:ascii="Antenna Light" w:eastAsia="Times New Roman" w:hAnsi="Antenna Light" w:cs="Arial"/>
          <w:sz w:val="20"/>
          <w:szCs w:val="20"/>
          <w:lang w:val="es-ES" w:eastAsia="es-ES"/>
        </w:rPr>
      </w:pPr>
    </w:p>
    <w:p w14:paraId="53265123"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Reflejar mayor transparencia. </w:t>
      </w:r>
    </w:p>
    <w:p w14:paraId="00039FA2" w14:textId="77777777" w:rsidR="003B61ED" w:rsidRPr="001D097B" w:rsidRDefault="003B61ED" w:rsidP="003B61ED">
      <w:pPr>
        <w:widowControl w:val="0"/>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Se establece una base de referencia comparativa sobre el desempeño actual y futuro en la conducción de las finanzas públicas y de la deuda pública.</w:t>
      </w:r>
    </w:p>
    <w:p w14:paraId="260FBD41" w14:textId="77777777" w:rsidR="003B61ED" w:rsidRPr="001D097B" w:rsidRDefault="003B61ED" w:rsidP="003B61ED">
      <w:pPr>
        <w:widowControl w:val="0"/>
        <w:tabs>
          <w:tab w:val="left" w:pos="1850"/>
        </w:tabs>
        <w:autoSpaceDE w:val="0"/>
        <w:autoSpaceDN w:val="0"/>
        <w:adjustRightInd w:val="0"/>
        <w:spacing w:after="0" w:line="240" w:lineRule="auto"/>
        <w:ind w:left="1490" w:right="862"/>
        <w:jc w:val="both"/>
        <w:rPr>
          <w:rFonts w:ascii="Antenna Light" w:eastAsia="Times New Roman" w:hAnsi="Antenna Light" w:cs="Arial"/>
          <w:color w:val="000000"/>
          <w:w w:val="102"/>
          <w:sz w:val="20"/>
          <w:szCs w:val="20"/>
          <w:lang w:val="es-ES" w:eastAsia="es-ES"/>
        </w:rPr>
      </w:pPr>
    </w:p>
    <w:p w14:paraId="44DC3151" w14:textId="77777777" w:rsidR="003B61ED" w:rsidRPr="001D097B" w:rsidRDefault="003B61ED" w:rsidP="003B61ED">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8"/>
          <w:sz w:val="20"/>
          <w:szCs w:val="20"/>
          <w:lang w:val="es-ES" w:eastAsia="es-ES"/>
        </w:rPr>
        <w:t xml:space="preserve">  Opinión  externa  que  coadyuve  a  una  mejor  comunicación  con  los  diversos </w:t>
      </w:r>
      <w:r w:rsidRPr="001D097B">
        <w:rPr>
          <w:rFonts w:ascii="Antenna Light" w:eastAsia="Times New Roman" w:hAnsi="Antenna Light" w:cs="Arial"/>
          <w:color w:val="000000"/>
          <w:spacing w:val="-3"/>
          <w:sz w:val="20"/>
          <w:szCs w:val="20"/>
          <w:lang w:val="es-ES" w:eastAsia="es-ES"/>
        </w:rPr>
        <w:t xml:space="preserve">representantes de la sociedad. </w:t>
      </w:r>
    </w:p>
    <w:p w14:paraId="4E5CDBC3" w14:textId="77777777" w:rsidR="003B61ED" w:rsidRPr="001D097B" w:rsidRDefault="003B61ED" w:rsidP="003B61ED">
      <w:pPr>
        <w:widowControl w:val="0"/>
        <w:tabs>
          <w:tab w:val="left" w:pos="1850"/>
        </w:tabs>
        <w:autoSpaceDE w:val="0"/>
        <w:autoSpaceDN w:val="0"/>
        <w:adjustRightInd w:val="0"/>
        <w:spacing w:after="0" w:line="240" w:lineRule="auto"/>
        <w:ind w:left="1490" w:right="856"/>
        <w:jc w:val="both"/>
        <w:rPr>
          <w:rFonts w:ascii="Antenna Light" w:eastAsia="Times New Roman" w:hAnsi="Antenna Light" w:cs="Arial"/>
          <w:color w:val="000000"/>
          <w:w w:val="107"/>
          <w:sz w:val="20"/>
          <w:szCs w:val="20"/>
          <w:lang w:val="es-ES" w:eastAsia="es-ES"/>
        </w:rPr>
      </w:pPr>
    </w:p>
    <w:p w14:paraId="5B679637" w14:textId="77777777" w:rsidR="003B61ED" w:rsidRPr="001D097B" w:rsidRDefault="003B61ED" w:rsidP="003B61ED">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7"/>
          <w:sz w:val="20"/>
          <w:szCs w:val="20"/>
          <w:lang w:val="es-ES" w:eastAsia="es-ES"/>
        </w:rPr>
        <w:t xml:space="preserve">  Posible  elemento  de  promoción  ante  potenciales  inversionistas  nacionales  y </w:t>
      </w:r>
      <w:r w:rsidRPr="001D097B">
        <w:rPr>
          <w:rFonts w:ascii="Antenna Light" w:eastAsia="Times New Roman" w:hAnsi="Antenna Light" w:cs="Arial"/>
          <w:color w:val="000000"/>
          <w:sz w:val="20"/>
          <w:szCs w:val="20"/>
          <w:lang w:val="es-ES" w:eastAsia="es-ES"/>
        </w:rPr>
        <w:t xml:space="preserve">extranjeros. </w:t>
      </w:r>
    </w:p>
    <w:p w14:paraId="2FFA95A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p>
    <w:p w14:paraId="3B4CAB38"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Se desarrolla un historial crediticio propio en el mercado financiero. </w:t>
      </w:r>
    </w:p>
    <w:p w14:paraId="075164FB"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Se diversifica y fortalece el potencial de las fuentes de financiamiento. </w:t>
      </w:r>
    </w:p>
    <w:p w14:paraId="642E6E67" w14:textId="77777777" w:rsidR="003B61ED" w:rsidRPr="001D097B" w:rsidRDefault="003B61ED" w:rsidP="003B61ED">
      <w:pPr>
        <w:widowControl w:val="0"/>
        <w:autoSpaceDE w:val="0"/>
        <w:autoSpaceDN w:val="0"/>
        <w:adjustRightInd w:val="0"/>
        <w:spacing w:before="290" w:after="0" w:line="290" w:lineRule="exact"/>
        <w:ind w:right="844"/>
        <w:jc w:val="both"/>
        <w:rPr>
          <w:rFonts w:ascii="Antenna Light" w:eastAsia="Times New Roman" w:hAnsi="Antenna Light" w:cs="Arial"/>
          <w:color w:val="000000"/>
          <w:w w:val="106"/>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calificación  asignada  al  Municipio por parte de la agencia internacional Fitch Ratings  es de  </w:t>
      </w:r>
      <w:r w:rsidRPr="001D097B">
        <w:rPr>
          <w:rFonts w:ascii="Antenna Light" w:eastAsia="Times New Roman" w:hAnsi="Antenna Light" w:cs="Arial"/>
          <w:color w:val="000000"/>
          <w:w w:val="106"/>
          <w:sz w:val="20"/>
          <w:szCs w:val="20"/>
          <w:lang w:val="es-ES" w:eastAsia="es-ES"/>
        </w:rPr>
        <w:t xml:space="preserve"> AA (</w:t>
      </w:r>
      <w:proofErr w:type="spellStart"/>
      <w:r w:rsidRPr="001D097B">
        <w:rPr>
          <w:rFonts w:ascii="Antenna Light" w:eastAsia="Times New Roman" w:hAnsi="Antenna Light" w:cs="Arial"/>
          <w:color w:val="000000"/>
          <w:w w:val="106"/>
          <w:sz w:val="20"/>
          <w:szCs w:val="20"/>
          <w:lang w:val="es-ES" w:eastAsia="es-ES"/>
        </w:rPr>
        <w:t>mex</w:t>
      </w:r>
      <w:proofErr w:type="spellEnd"/>
      <w:r w:rsidRPr="001D097B">
        <w:rPr>
          <w:rFonts w:ascii="Antenna Light" w:eastAsia="Times New Roman" w:hAnsi="Antenna Light" w:cs="Arial"/>
          <w:color w:val="000000"/>
          <w:w w:val="106"/>
          <w:sz w:val="20"/>
          <w:szCs w:val="20"/>
          <w:lang w:val="es-ES" w:eastAsia="es-ES"/>
        </w:rPr>
        <w:t>), y que representa una  Muy Alta Calidad Crediticia,  con Perspectiva Crediticia Positiva.</w:t>
      </w:r>
    </w:p>
    <w:p w14:paraId="644E5A9B" w14:textId="77777777" w:rsidR="003B61ED" w:rsidRPr="001D097B" w:rsidRDefault="003B61ED" w:rsidP="003B61ED">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7777777" w:rsidR="00987F08" w:rsidRPr="001D097B" w:rsidRDefault="00987F08" w:rsidP="003B61ED">
      <w:pPr>
        <w:spacing w:after="0"/>
        <w:ind w:left="708" w:right="-193" w:hanging="708"/>
        <w:jc w:val="both"/>
        <w:rPr>
          <w:rFonts w:ascii="Antenna Light" w:eastAsia="MS Mincho" w:hAnsi="Antenna Light" w:cs="Arial"/>
          <w:b/>
          <w:sz w:val="20"/>
          <w:szCs w:val="20"/>
          <w:lang w:val="es-ES_tradnl"/>
        </w:rPr>
      </w:pPr>
    </w:p>
    <w:sectPr w:rsidR="00987F08" w:rsidRPr="001D097B" w:rsidSect="00261F55">
      <w:headerReference w:type="default" r:id="rId14"/>
      <w:footerReference w:type="default" r:id="rId15"/>
      <w:pgSz w:w="12242" w:h="15842" w:code="1"/>
      <w:pgMar w:top="1304" w:right="1134" w:bottom="1134"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7D3E" w14:textId="77777777" w:rsidR="003775FD" w:rsidRDefault="003775FD" w:rsidP="00C3646F">
      <w:pPr>
        <w:spacing w:after="0" w:line="240" w:lineRule="auto"/>
      </w:pPr>
      <w:r>
        <w:separator/>
      </w:r>
    </w:p>
  </w:endnote>
  <w:endnote w:type="continuationSeparator" w:id="0">
    <w:p w14:paraId="125C32A1" w14:textId="77777777" w:rsidR="003775FD" w:rsidRDefault="003775FD"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C67B" w14:textId="77777777" w:rsidR="00FC2D76" w:rsidRDefault="00FC2D76">
    <w:pPr>
      <w:pStyle w:val="Piedepgina"/>
    </w:pPr>
    <w:r>
      <w:rPr>
        <w:noProof/>
        <w:lang w:val="es-ES" w:eastAsia="es-ES"/>
      </w:rPr>
      <w:drawing>
        <wp:anchor distT="0" distB="0" distL="114300" distR="114300" simplePos="0" relativeHeight="251661312" behindDoc="1" locked="0" layoutInCell="1" allowOverlap="1" wp14:anchorId="729A2C09" wp14:editId="1F9843F1">
          <wp:simplePos x="0" y="0"/>
          <wp:positionH relativeFrom="margin">
            <wp:align>center</wp:align>
          </wp:positionH>
          <wp:positionV relativeFrom="paragraph">
            <wp:posOffset>-285115</wp:posOffset>
          </wp:positionV>
          <wp:extent cx="7087870" cy="895257"/>
          <wp:effectExtent l="0" t="0" r="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450Aniv_Tesor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870" cy="8952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309C" w14:textId="77777777" w:rsidR="003775FD" w:rsidRDefault="003775FD" w:rsidP="00C3646F">
      <w:pPr>
        <w:spacing w:after="0" w:line="240" w:lineRule="auto"/>
      </w:pPr>
      <w:r>
        <w:separator/>
      </w:r>
    </w:p>
  </w:footnote>
  <w:footnote w:type="continuationSeparator" w:id="0">
    <w:p w14:paraId="0C4A27D1" w14:textId="77777777" w:rsidR="003775FD" w:rsidRDefault="003775FD"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3C" w14:textId="77777777" w:rsidR="00FC2D76" w:rsidRDefault="00FC2D76">
    <w:pPr>
      <w:pStyle w:val="Encabezado"/>
    </w:pPr>
    <w:r>
      <w:rPr>
        <w:noProof/>
        <w:lang w:val="es-ES" w:eastAsia="es-ES"/>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6F"/>
    <w:rsid w:val="000011A5"/>
    <w:rsid w:val="000035ED"/>
    <w:rsid w:val="00005BB4"/>
    <w:rsid w:val="00005FFF"/>
    <w:rsid w:val="00014597"/>
    <w:rsid w:val="00020BAF"/>
    <w:rsid w:val="00023F07"/>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A25C9"/>
    <w:rsid w:val="000A3E1C"/>
    <w:rsid w:val="000A68F7"/>
    <w:rsid w:val="000A78DD"/>
    <w:rsid w:val="000B3EA5"/>
    <w:rsid w:val="000B52B9"/>
    <w:rsid w:val="000B6CA1"/>
    <w:rsid w:val="000C0ECB"/>
    <w:rsid w:val="000D3061"/>
    <w:rsid w:val="000E1C66"/>
    <w:rsid w:val="000E32F9"/>
    <w:rsid w:val="000E3783"/>
    <w:rsid w:val="000E7520"/>
    <w:rsid w:val="0010012C"/>
    <w:rsid w:val="001043A1"/>
    <w:rsid w:val="00104555"/>
    <w:rsid w:val="001049D0"/>
    <w:rsid w:val="00104FBA"/>
    <w:rsid w:val="00106604"/>
    <w:rsid w:val="0011325E"/>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1F72B1"/>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DF"/>
    <w:rsid w:val="00261F55"/>
    <w:rsid w:val="00264AC7"/>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615D9"/>
    <w:rsid w:val="0037106E"/>
    <w:rsid w:val="003748A3"/>
    <w:rsid w:val="00374BF9"/>
    <w:rsid w:val="00376A83"/>
    <w:rsid w:val="003775FD"/>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5CFD"/>
    <w:rsid w:val="00527823"/>
    <w:rsid w:val="00531656"/>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7BAA"/>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3972"/>
    <w:rsid w:val="008B4FA6"/>
    <w:rsid w:val="008B6722"/>
    <w:rsid w:val="008B7155"/>
    <w:rsid w:val="008C491C"/>
    <w:rsid w:val="008C5CAA"/>
    <w:rsid w:val="008C7F94"/>
    <w:rsid w:val="008D3E47"/>
    <w:rsid w:val="008D4A36"/>
    <w:rsid w:val="008D73A3"/>
    <w:rsid w:val="008E28F8"/>
    <w:rsid w:val="008E5D1D"/>
    <w:rsid w:val="008F30F4"/>
    <w:rsid w:val="009008BB"/>
    <w:rsid w:val="00900905"/>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81338"/>
    <w:rsid w:val="00E81A48"/>
    <w:rsid w:val="00E81FF1"/>
    <w:rsid w:val="00E90185"/>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DDFC-4ABB-4A41-9BFC-65A33EED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2990</Words>
  <Characters>16446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2020-02-13T20:12:00Z</cp:lastPrinted>
  <dcterms:created xsi:type="dcterms:W3CDTF">2020-05-02T23:49:00Z</dcterms:created>
  <dcterms:modified xsi:type="dcterms:W3CDTF">2020-05-02T23:49:00Z</dcterms:modified>
</cp:coreProperties>
</file>