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224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9224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9224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9224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9224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9224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9224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9224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9224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9224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9224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9224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9224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9224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9224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9224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9224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7509E6A6"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Entorno internacional Durante 2018, la economía global continuó expandiéndose. No obstante, a partir del tercer trimestre, se comenzaron a observar señales de moderación en el crecimiento global derivadas de las tensiones comerciales y geopolíticas, la normalización de la política monetaria en economías avanzadas que afectó los flujos de capital a economías emergentes, y un menor dinamismo de la economía de China. En línea con lo anterior, el Fondo Monetario Internacional (FMI), en su actualización de enero del reporte de Perspectivas de la Economía Mundial, revisó a la baja sus proyecciones de crecimiento de la economía mundial para 2019 de 3.7 a 3.5% y de 3.7 a 3.6% para 2020. En este contexto, en 2018 se observó una elevada incertidumbre y una mayor astringencia de las condiciones financieras, por lo que los mercados financieros estuvieron caracterizados por una alta aversión al riesgo que generaron una elevada volatilidad de las variables financieras. No obstante, se ha mostrado una menor volatilidad en 2019 debido a la expectativa de un menor ritmo en los ajustes a la política monetaria de economías avanzadas, como consecuencia de señales más claras de una desaceleración del crecimiento global. Por su parte, los precios internacionales del petróleo exhibieron una tendencia creciente durante los primeros tres trimestres del 2018 y una caída pronunciada en el cuarto trimestre. A esto último contribuyó un exceso de oferta en el mercado por los elevados niveles de producción. En 2019, los acuerdos alcanzados en la Organización de Países Exportadores de Petróleo (OPEP) para reducir la producción, entre otros factores, han permitido una recuperación del precio del petróleo, aunque esta ha sido moderada por las expectativas de una menor actividad económica mundial.</w:t>
      </w:r>
    </w:p>
    <w:p w14:paraId="17E25688"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 este contexto, en enero de 2019 el FMI revisó a la baja su estimación de crecimiento para las economías avanzadas en 2019 de 2.1 a 2.0% y mantuvo en 1.7% su proyección de crecimiento para 2020.</w:t>
      </w:r>
    </w:p>
    <w:p w14:paraId="611E6C5B" w14:textId="77777777" w:rsidR="00D02C94" w:rsidRPr="00D02C94" w:rsidRDefault="00D02C94" w:rsidP="00D02C94">
      <w:pPr>
        <w:rPr>
          <w:rFonts w:ascii="Arial" w:hAnsi="Arial" w:cs="Arial"/>
          <w:sz w:val="20"/>
          <w:szCs w:val="20"/>
          <w:u w:val="single"/>
        </w:rPr>
      </w:pPr>
    </w:p>
    <w:p w14:paraId="672FCDCD" w14:textId="77777777" w:rsidR="00D02C94" w:rsidRPr="00D02C94" w:rsidRDefault="00A92247" w:rsidP="00D02C94">
      <w:pPr>
        <w:rPr>
          <w:rFonts w:ascii="Arial" w:hAnsi="Arial" w:cs="Arial"/>
          <w:sz w:val="20"/>
          <w:szCs w:val="20"/>
        </w:rPr>
      </w:pPr>
      <w:hyperlink r:id="rId12" w:history="1">
        <w:r w:rsidR="00D02C94" w:rsidRPr="00D02C94">
          <w:rPr>
            <w:rFonts w:ascii="Arial" w:hAnsi="Arial" w:cs="Arial"/>
            <w:sz w:val="20"/>
            <w:szCs w:val="20"/>
          </w:rPr>
          <w:t>https://www.finanzaspublicas.hacienda.gob.mx/work/models/Finanzas_Publicas/docs/paquete_economico/precgpe/precgpe_2020.pdf</w:t>
        </w:r>
      </w:hyperlink>
    </w:p>
    <w:p w14:paraId="68F7B012" w14:textId="77777777" w:rsidR="00D02C94" w:rsidRDefault="00D02C94" w:rsidP="00D02C94">
      <w:pPr>
        <w:spacing w:line="360" w:lineRule="auto"/>
        <w:jc w:val="both"/>
        <w:rPr>
          <w:rFonts w:ascii="Arial" w:hAnsi="Arial" w:cs="Arial"/>
          <w:sz w:val="20"/>
          <w:szCs w:val="20"/>
          <w:u w:val="single"/>
        </w:rPr>
      </w:pPr>
    </w:p>
    <w:p w14:paraId="684CF0A9"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Más sin embargo el Organismo Operador en el momento de la elaboración y proyección del presupuesto 2020 está ubicada en números negros y sin pasivos que no puedan solventarse de manera inmediata, por lo que actualmente no se cuenta con Deuda.</w:t>
      </w:r>
    </w:p>
    <w:p w14:paraId="6A19F4D4"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21FEC7D2"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La presente Proyección de Presupuesto de Egresos establece contribuciones ajustadas a la realidad económica del País con incrementos de un 4 % en la mayoría de los rubros Gastos considerando el índice inflacionario, así como en el Rubro de Servicios Personales se consideró incremento general del 4% a sueldo.</w:t>
      </w:r>
    </w:p>
    <w:p w14:paraId="31A742DE" w14:textId="4A7B3E17" w:rsidR="00A84D75" w:rsidRPr="00D02C94" w:rsidRDefault="00A84D75" w:rsidP="00A84D75">
      <w:pPr>
        <w:autoSpaceDE w:val="0"/>
        <w:autoSpaceDN w:val="0"/>
        <w:adjustRightInd w:val="0"/>
        <w:spacing w:line="360" w:lineRule="auto"/>
        <w:jc w:val="both"/>
        <w:rPr>
          <w:rFonts w:ascii="Arial" w:hAnsi="Arial" w:cs="Arial"/>
          <w:sz w:val="20"/>
          <w:szCs w:val="20"/>
          <w:u w:val="single"/>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3"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B25852" w:rsidRPr="00E056CB" w14:paraId="6B73AD97" w14:textId="54083ED8" w:rsidTr="00B25852">
        <w:trPr>
          <w:gridAfter w:val="3"/>
          <w:wAfter w:w="3204" w:type="dxa"/>
          <w:trHeight w:val="59"/>
        </w:trPr>
        <w:tc>
          <w:tcPr>
            <w:tcW w:w="1348" w:type="dxa"/>
          </w:tcPr>
          <w:p w14:paraId="25F3E205"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B25852" w:rsidRPr="00E056CB" w:rsidRDefault="00B25852"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B25852" w:rsidRPr="00E056CB" w:rsidRDefault="00B25852" w:rsidP="00A84D75">
            <w:pPr>
              <w:spacing w:after="0" w:line="240" w:lineRule="auto"/>
              <w:jc w:val="right"/>
            </w:pPr>
            <w:r>
              <w:rPr>
                <w:rFonts w:ascii="Arial" w:hAnsi="Arial" w:cs="Arial"/>
                <w:b/>
                <w:sz w:val="16"/>
                <w:szCs w:val="10"/>
              </w:rPr>
              <w:t>2019</w:t>
            </w:r>
          </w:p>
        </w:tc>
        <w:tc>
          <w:tcPr>
            <w:tcW w:w="1348" w:type="dxa"/>
            <w:gridSpan w:val="2"/>
          </w:tcPr>
          <w:p w14:paraId="5B5FB790" w14:textId="5E2433A0" w:rsidR="00B25852" w:rsidRPr="00E056CB" w:rsidRDefault="00B25852" w:rsidP="00B25852">
            <w:pPr>
              <w:spacing w:after="0" w:line="240" w:lineRule="auto"/>
              <w:jc w:val="both"/>
            </w:pPr>
            <w:r>
              <w:rPr>
                <w:rFonts w:ascii="Arial" w:hAnsi="Arial" w:cs="Arial"/>
                <w:b/>
                <w:sz w:val="16"/>
                <w:szCs w:val="10"/>
              </w:rPr>
              <w:t xml:space="preserve">                 2020</w:t>
            </w:r>
          </w:p>
        </w:tc>
      </w:tr>
      <w:tr w:rsidR="00B25852" w:rsidRPr="00E056CB" w14:paraId="567B3D71" w14:textId="06B111BF" w:rsidTr="00B25852">
        <w:trPr>
          <w:gridAfter w:val="3"/>
          <w:wAfter w:w="3204" w:type="dxa"/>
          <w:trHeight w:val="710"/>
        </w:trPr>
        <w:tc>
          <w:tcPr>
            <w:tcW w:w="1348" w:type="dxa"/>
          </w:tcPr>
          <w:p w14:paraId="4FD76873"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B25852" w:rsidRDefault="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B25852" w:rsidRDefault="00B25852"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43E4D5FA"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F1BED9"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1335B4F"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A429C52" w14:textId="77777777" w:rsidR="00B25852" w:rsidRDefault="00B25852" w:rsidP="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520278E5" w14:textId="7873DF96" w:rsidR="00B25852" w:rsidRPr="00E056CB" w:rsidRDefault="00B25852">
            <w:pPr>
              <w:spacing w:after="0" w:line="240" w:lineRule="auto"/>
            </w:pPr>
            <w:r>
              <w:rPr>
                <w:rFonts w:ascii="Arial" w:hAnsi="Arial" w:cs="Arial"/>
                <w:color w:val="000000"/>
                <w:sz w:val="10"/>
                <w:szCs w:val="10"/>
              </w:rPr>
              <w:t>1 CONTRALORIA INTERNA</w:t>
            </w:r>
          </w:p>
        </w:tc>
      </w:tr>
    </w:tbl>
    <w:p w14:paraId="2DDD6455" w14:textId="77777777" w:rsidR="00B25852" w:rsidRDefault="00B25852"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08E1C7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25852">
        <w:rPr>
          <w:rFonts w:cs="Calibri"/>
        </w:rPr>
        <w:t>jemplo: enero a diciembre de 2020</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1D524C0F"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w:t>
      </w:r>
      <w:r w:rsidR="00B25852">
        <w:rPr>
          <w:rFonts w:ascii="Arial" w:hAnsi="Arial" w:cs="Arial"/>
          <w:sz w:val="20"/>
          <w:szCs w:val="20"/>
          <w:u w:val="single"/>
        </w:rPr>
        <w:t>20</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06FC2D95" w:rsidR="00CB41C4" w:rsidRDefault="00B25852" w:rsidP="003C0BA3">
      <w:pPr>
        <w:tabs>
          <w:tab w:val="left" w:leader="underscore" w:pos="9639"/>
        </w:tabs>
        <w:spacing w:after="0" w:line="240" w:lineRule="auto"/>
        <w:jc w:val="center"/>
        <w:rPr>
          <w:rFonts w:cs="Calibri"/>
        </w:rPr>
      </w:pPr>
      <w:r>
        <w:rPr>
          <w:noProof/>
          <w:lang w:eastAsia="es-MX"/>
        </w:rPr>
        <w:lastRenderedPageBreak/>
        <w:drawing>
          <wp:inline distT="0" distB="0" distL="0" distR="0" wp14:anchorId="136D57D7" wp14:editId="050EE71F">
            <wp:extent cx="4684196" cy="3478086"/>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00" r="8296" b="800"/>
                    <a:stretch/>
                  </pic:blipFill>
                  <pic:spPr bwMode="auto">
                    <a:xfrm>
                      <a:off x="0" y="0"/>
                      <a:ext cx="4686340" cy="3479678"/>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lastRenderedPageBreak/>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3A6823A6"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sidR="00B25852">
        <w:rPr>
          <w:rFonts w:ascii="Arial" w:hAnsi="Arial" w:cs="Arial"/>
          <w:sz w:val="20"/>
          <w:szCs w:val="20"/>
          <w:u w:val="single"/>
        </w:rPr>
        <w:t>$</w:t>
      </w:r>
      <w:r w:rsidR="00770D60" w:rsidRPr="00770D60">
        <w:rPr>
          <w:rFonts w:ascii="Arial" w:hAnsi="Arial" w:cs="Arial"/>
          <w:sz w:val="20"/>
          <w:szCs w:val="20"/>
          <w:u w:val="single"/>
        </w:rPr>
        <w:t>44,391,580.99</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D7164AA"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w:t>
      </w:r>
      <w:r w:rsidR="008657B0">
        <w:rPr>
          <w:rFonts w:ascii="Arial" w:hAnsi="Arial" w:cs="Arial"/>
          <w:sz w:val="20"/>
          <w:szCs w:val="20"/>
          <w:u w:val="single"/>
        </w:rPr>
        <w:t xml:space="preserve"> 10%, Herramientas-14.28</w:t>
      </w:r>
      <w:r w:rsidRPr="008F0698">
        <w:rPr>
          <w:rFonts w:ascii="Arial" w:hAnsi="Arial" w:cs="Arial"/>
          <w:sz w:val="20"/>
          <w:szCs w:val="20"/>
          <w:u w:val="single"/>
        </w:rPr>
        <w:t>%, V</w:t>
      </w:r>
      <w:r w:rsidR="008657B0">
        <w:rPr>
          <w:rFonts w:ascii="Arial" w:hAnsi="Arial" w:cs="Arial"/>
          <w:sz w:val="20"/>
          <w:szCs w:val="20"/>
          <w:u w:val="single"/>
        </w:rPr>
        <w:t>ehículos, camiones, remolques-10%, Equipo de Cómputo – 33.3</w:t>
      </w:r>
      <w:r w:rsidRPr="008F0698">
        <w:rPr>
          <w:rFonts w:ascii="Arial" w:hAnsi="Arial" w:cs="Arial"/>
          <w:sz w:val="20"/>
          <w:szCs w:val="20"/>
          <w:u w:val="single"/>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75C397FC"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sidR="00770D60">
        <w:rPr>
          <w:rFonts w:ascii="Arial" w:hAnsi="Arial" w:cs="Arial"/>
          <w:sz w:val="20"/>
          <w:szCs w:val="20"/>
          <w:u w:val="single"/>
        </w:rPr>
        <w:t>tán estables en un promedio de 4</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15770433" w14:textId="2197CC62" w:rsidR="00B25852" w:rsidRDefault="00B25852" w:rsidP="00C66CFA">
      <w:pPr>
        <w:tabs>
          <w:tab w:val="left" w:leader="underscore" w:pos="9639"/>
        </w:tabs>
        <w:spacing w:after="0" w:line="240" w:lineRule="auto"/>
        <w:ind w:left="360"/>
        <w:jc w:val="both"/>
        <w:rPr>
          <w:rFonts w:cs="Calibri"/>
          <w:b/>
        </w:rPr>
      </w:pPr>
    </w:p>
    <w:p w14:paraId="298E238E" w14:textId="17723FBB" w:rsidR="00B25852" w:rsidRDefault="00770D60" w:rsidP="00C66CFA">
      <w:pPr>
        <w:tabs>
          <w:tab w:val="left" w:leader="underscore" w:pos="9639"/>
        </w:tabs>
        <w:spacing w:after="0" w:line="240" w:lineRule="auto"/>
        <w:ind w:left="360"/>
        <w:jc w:val="both"/>
        <w:rPr>
          <w:rFonts w:cs="Calibri"/>
          <w:b/>
        </w:rPr>
      </w:pPr>
      <w:r w:rsidRPr="00770D60">
        <w:rPr>
          <w:noProof/>
          <w:lang w:eastAsia="es-MX"/>
        </w:rPr>
        <w:drawing>
          <wp:inline distT="0" distB="0" distL="0" distR="0" wp14:anchorId="77202BF0" wp14:editId="7B990ACB">
            <wp:extent cx="4016628" cy="639641"/>
            <wp:effectExtent l="0" t="0" r="317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8109" cy="639877"/>
                    </a:xfrm>
                    <a:prstGeom prst="rect">
                      <a:avLst/>
                    </a:prstGeom>
                    <a:noFill/>
                    <a:ln>
                      <a:noFill/>
                    </a:ln>
                  </pic:spPr>
                </pic:pic>
              </a:graphicData>
            </a:graphic>
          </wp:inline>
        </w:drawing>
      </w:r>
    </w:p>
    <w:p w14:paraId="13546202" w14:textId="77777777" w:rsidR="00FE2210" w:rsidRDefault="00FE2210" w:rsidP="00C66CFA">
      <w:pPr>
        <w:tabs>
          <w:tab w:val="left" w:leader="underscore" w:pos="9639"/>
        </w:tabs>
        <w:spacing w:after="0" w:line="240" w:lineRule="auto"/>
        <w:ind w:left="360"/>
        <w:jc w:val="both"/>
        <w:rPr>
          <w:rFonts w:cs="Calibri"/>
          <w:b/>
        </w:rPr>
      </w:pPr>
    </w:p>
    <w:p w14:paraId="7F294F69" w14:textId="11E8C304" w:rsidR="007D1E76" w:rsidRPr="00C66CFA" w:rsidRDefault="00C66CFA" w:rsidP="00F63426">
      <w:pPr>
        <w:tabs>
          <w:tab w:val="left" w:leader="underscore" w:pos="9639"/>
        </w:tabs>
        <w:spacing w:after="0" w:line="240" w:lineRule="auto"/>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07143326" w14:textId="363E8ED9" w:rsidR="00C426D5" w:rsidRDefault="00C426D5" w:rsidP="00C426D5">
      <w:pPr>
        <w:shd w:val="clear" w:color="auto" w:fill="FFFFFF"/>
        <w:spacing w:after="0" w:line="240" w:lineRule="auto"/>
        <w:rPr>
          <w:rFonts w:ascii="Arial" w:eastAsia="Times New Roman" w:hAnsi="Arial" w:cs="Arial"/>
          <w:b/>
          <w:bCs/>
          <w:color w:val="212121"/>
          <w:sz w:val="20"/>
          <w:szCs w:val="20"/>
          <w:shd w:val="clear" w:color="auto" w:fill="FFFFFF"/>
          <w:lang w:eastAsia="es-MX"/>
        </w:rPr>
      </w:pPr>
      <w:bookmarkStart w:id="9" w:name="_Toc508279631"/>
      <w:r>
        <w:rPr>
          <w:rFonts w:ascii="Arial" w:eastAsia="Times New Roman" w:hAnsi="Arial" w:cs="Arial"/>
          <w:b/>
          <w:bCs/>
          <w:color w:val="212121"/>
          <w:sz w:val="20"/>
          <w:szCs w:val="20"/>
          <w:shd w:val="clear" w:color="auto" w:fill="FFFFFF"/>
          <w:lang w:eastAsia="es-MX"/>
        </w:rPr>
        <w:t xml:space="preserve">10. </w:t>
      </w:r>
      <w:r w:rsidRPr="00C426D5">
        <w:rPr>
          <w:rFonts w:ascii="Arial" w:eastAsia="Times New Roman" w:hAnsi="Arial" w:cs="Arial"/>
          <w:b/>
          <w:bCs/>
          <w:color w:val="212121"/>
          <w:sz w:val="20"/>
          <w:szCs w:val="20"/>
          <w:shd w:val="clear" w:color="auto" w:fill="FFFFFF"/>
          <w:lang w:eastAsia="es-MX"/>
        </w:rPr>
        <w:t>Reporte de la Recaudación:                      </w:t>
      </w:r>
    </w:p>
    <w:p w14:paraId="18FAF0B4" w14:textId="77777777" w:rsidR="00C426D5" w:rsidRPr="00C426D5" w:rsidRDefault="00C426D5" w:rsidP="00C426D5">
      <w:pPr>
        <w:shd w:val="clear" w:color="auto" w:fill="FFFFFF"/>
        <w:spacing w:after="0" w:line="240" w:lineRule="auto"/>
        <w:rPr>
          <w:rFonts w:eastAsia="Times New Roman"/>
          <w:color w:val="000000"/>
          <w:sz w:val="24"/>
          <w:szCs w:val="24"/>
          <w:lang w:eastAsia="es-MX"/>
        </w:rPr>
      </w:pPr>
    </w:p>
    <w:p w14:paraId="2CFAE670" w14:textId="451AEE59" w:rsidR="00C426D5" w:rsidRPr="00C426D5" w:rsidRDefault="00C426D5" w:rsidP="00C426D5">
      <w:pPr>
        <w:pStyle w:val="Prrafodelista"/>
        <w:numPr>
          <w:ilvl w:val="0"/>
          <w:numId w:val="5"/>
        </w:numPr>
        <w:shd w:val="clear" w:color="auto" w:fill="FFFFFF"/>
        <w:spacing w:after="0" w:line="240" w:lineRule="auto"/>
        <w:jc w:val="both"/>
        <w:rPr>
          <w:rFonts w:eastAsia="Times New Roman"/>
          <w:color w:val="000000"/>
          <w:sz w:val="24"/>
          <w:szCs w:val="24"/>
          <w:lang w:eastAsia="es-MX"/>
        </w:rPr>
      </w:pPr>
      <w:r w:rsidRPr="00C426D5">
        <w:rPr>
          <w:rFonts w:ascii="Arial" w:eastAsia="Times New Roman" w:hAnsi="Arial" w:cs="Arial"/>
          <w:color w:val="212121"/>
          <w:sz w:val="20"/>
          <w:szCs w:val="20"/>
          <w:shd w:val="clear" w:color="auto" w:fill="FFFFFF"/>
          <w:lang w:eastAsia="es-MX"/>
        </w:rPr>
        <w:t>Análisis del comportamiento de la recaudación correspondiente al ente público o cualquier tipo de ingreso, de forma separada los ingresos locales de los federales:</w:t>
      </w:r>
    </w:p>
    <w:p w14:paraId="7EA4623B" w14:textId="77777777" w:rsidR="00C426D5" w:rsidRDefault="00C426D5" w:rsidP="00C426D5">
      <w:pPr>
        <w:shd w:val="clear" w:color="auto" w:fill="FFFFFF"/>
        <w:spacing w:after="0" w:line="240" w:lineRule="auto"/>
        <w:ind w:left="360"/>
        <w:jc w:val="both"/>
        <w:rPr>
          <w:rFonts w:eastAsia="Times New Roman"/>
          <w:color w:val="000000"/>
          <w:sz w:val="24"/>
          <w:szCs w:val="24"/>
          <w:lang w:eastAsia="es-MX"/>
        </w:rPr>
      </w:pPr>
      <w:r w:rsidRPr="00C426D5">
        <w:rPr>
          <w:rFonts w:ascii="Arial" w:eastAsia="Times New Roman" w:hAnsi="Arial" w:cs="Arial"/>
          <w:color w:val="212121"/>
          <w:sz w:val="20"/>
          <w:szCs w:val="20"/>
          <w:u w:val="single"/>
          <w:shd w:val="clear" w:color="auto" w:fill="FFFFFF"/>
          <w:lang w:eastAsia="es-MX"/>
        </w:rPr>
        <w:t>En el mes de</w:t>
      </w:r>
      <w:r w:rsidRPr="00C426D5">
        <w:rPr>
          <w:rFonts w:ascii="Arial" w:eastAsia="Times New Roman" w:hAnsi="Arial" w:cs="Arial"/>
          <w:color w:val="000000"/>
          <w:sz w:val="20"/>
          <w:szCs w:val="20"/>
          <w:u w:val="single"/>
          <w:shd w:val="clear" w:color="auto" w:fill="FFFFFF"/>
          <w:lang w:eastAsia="es-MX"/>
        </w:rPr>
        <w:t> </w:t>
      </w:r>
      <w:r w:rsidRPr="00C426D5">
        <w:rPr>
          <w:rFonts w:ascii="Arial" w:eastAsia="Times New Roman" w:hAnsi="Arial" w:cs="Arial"/>
          <w:b/>
          <w:bCs/>
          <w:color w:val="000000"/>
          <w:sz w:val="20"/>
          <w:szCs w:val="20"/>
          <w:u w:val="single"/>
          <w:shd w:val="clear" w:color="auto" w:fill="FFFFFF"/>
          <w:lang w:eastAsia="es-MX"/>
        </w:rPr>
        <w:t>Diciembre </w:t>
      </w:r>
      <w:r w:rsidRPr="00C426D5">
        <w:rPr>
          <w:rFonts w:ascii="Arial" w:eastAsia="Times New Roman" w:hAnsi="Arial" w:cs="Arial"/>
          <w:b/>
          <w:bCs/>
          <w:color w:val="212121"/>
          <w:sz w:val="20"/>
          <w:szCs w:val="20"/>
          <w:u w:val="single"/>
          <w:shd w:val="clear" w:color="auto" w:fill="FFFFFF"/>
          <w:lang w:eastAsia="es-MX"/>
        </w:rPr>
        <w:t>del 2020</w:t>
      </w:r>
      <w:r w:rsidRPr="00C426D5">
        <w:rPr>
          <w:rFonts w:ascii="Arial" w:eastAsia="Times New Roman" w:hAnsi="Arial" w:cs="Arial"/>
          <w:color w:val="212121"/>
          <w:sz w:val="20"/>
          <w:szCs w:val="20"/>
          <w:u w:val="single"/>
          <w:shd w:val="clear" w:color="auto" w:fill="FFFFFF"/>
          <w:lang w:eastAsia="es-MX"/>
        </w:rPr>
        <w:t> se obtuvo una recaudación acumulada de </w:t>
      </w:r>
      <w:r w:rsidRPr="00C426D5">
        <w:rPr>
          <w:rFonts w:ascii="Arial" w:eastAsia="Times New Roman" w:hAnsi="Arial" w:cs="Arial"/>
          <w:b/>
          <w:bCs/>
          <w:color w:val="212121"/>
          <w:sz w:val="20"/>
          <w:szCs w:val="20"/>
          <w:u w:val="single"/>
          <w:shd w:val="clear" w:color="auto" w:fill="FFFFFF"/>
          <w:lang w:eastAsia="es-MX"/>
        </w:rPr>
        <w:t>$</w:t>
      </w:r>
      <w:proofErr w:type="gramStart"/>
      <w:r w:rsidRPr="00C426D5">
        <w:rPr>
          <w:rFonts w:ascii="Arial" w:eastAsia="Times New Roman" w:hAnsi="Arial" w:cs="Arial"/>
          <w:b/>
          <w:bCs/>
          <w:color w:val="212121"/>
          <w:sz w:val="20"/>
          <w:szCs w:val="20"/>
          <w:u w:val="single"/>
          <w:shd w:val="clear" w:color="auto" w:fill="FFFFFF"/>
          <w:lang w:eastAsia="es-MX"/>
        </w:rPr>
        <w:t>292,142,260.24  </w:t>
      </w:r>
      <w:r w:rsidRPr="00C426D5">
        <w:rPr>
          <w:rFonts w:ascii="Arial" w:eastAsia="Times New Roman" w:hAnsi="Arial" w:cs="Arial"/>
          <w:color w:val="212121"/>
          <w:sz w:val="20"/>
          <w:szCs w:val="20"/>
          <w:u w:val="single"/>
          <w:shd w:val="clear" w:color="auto" w:fill="FFFFFF"/>
          <w:lang w:eastAsia="es-MX"/>
        </w:rPr>
        <w:t>(</w:t>
      </w:r>
      <w:proofErr w:type="gramEnd"/>
      <w:r w:rsidRPr="00C426D5">
        <w:rPr>
          <w:rFonts w:ascii="Arial" w:eastAsia="Times New Roman" w:hAnsi="Arial" w:cs="Arial"/>
          <w:color w:val="212121"/>
          <w:sz w:val="20"/>
          <w:szCs w:val="20"/>
          <w:u w:val="single"/>
          <w:shd w:val="clear" w:color="auto" w:fill="FFFFFF"/>
          <w:lang w:eastAsia="es-MX"/>
        </w:rPr>
        <w:t>99.58 </w:t>
      </w:r>
      <w:r w:rsidRPr="00C426D5">
        <w:rPr>
          <w:rFonts w:ascii="Arial" w:eastAsia="Times New Roman" w:hAnsi="Arial" w:cs="Arial"/>
          <w:b/>
          <w:bCs/>
          <w:color w:val="212121"/>
          <w:sz w:val="20"/>
          <w:szCs w:val="20"/>
          <w:u w:val="single"/>
          <w:shd w:val="clear" w:color="auto" w:fill="FFFFFF"/>
          <w:lang w:eastAsia="es-MX"/>
        </w:rPr>
        <w:t>%</w:t>
      </w:r>
      <w:r w:rsidRPr="00C426D5">
        <w:rPr>
          <w:rFonts w:ascii="Arial" w:eastAsia="Times New Roman" w:hAnsi="Arial" w:cs="Arial"/>
          <w:color w:val="212121"/>
          <w:sz w:val="20"/>
          <w:szCs w:val="20"/>
          <w:u w:val="single"/>
          <w:shd w:val="clear" w:color="auto" w:fill="FFFFFF"/>
          <w:lang w:eastAsia="es-MX"/>
        </w:rPr>
        <w:t> de lo presupuestado) por el cobro de los servicios de agua potable, alcantarillado y saneamiento correspondiente al mes de referencia.</w:t>
      </w:r>
    </w:p>
    <w:p w14:paraId="7F8CF5EE" w14:textId="03596833" w:rsidR="00C426D5" w:rsidRPr="00C426D5" w:rsidRDefault="00C426D5" w:rsidP="00C426D5">
      <w:pPr>
        <w:pStyle w:val="Prrafodelista"/>
        <w:numPr>
          <w:ilvl w:val="0"/>
          <w:numId w:val="5"/>
        </w:numPr>
        <w:shd w:val="clear" w:color="auto" w:fill="FFFFFF"/>
        <w:spacing w:after="0" w:line="240" w:lineRule="auto"/>
        <w:jc w:val="both"/>
        <w:rPr>
          <w:rFonts w:eastAsia="Times New Roman"/>
          <w:color w:val="000000"/>
          <w:sz w:val="24"/>
          <w:szCs w:val="24"/>
          <w:lang w:eastAsia="es-MX"/>
        </w:rPr>
      </w:pPr>
      <w:r w:rsidRPr="00C426D5">
        <w:rPr>
          <w:rFonts w:ascii="Arial" w:eastAsia="Times New Roman" w:hAnsi="Arial" w:cs="Arial"/>
          <w:color w:val="212121"/>
          <w:sz w:val="20"/>
          <w:szCs w:val="20"/>
          <w:shd w:val="clear" w:color="auto" w:fill="FFFFFF"/>
          <w:lang w:eastAsia="es-MX"/>
        </w:rPr>
        <w:lastRenderedPageBreak/>
        <w:t>Proyección de la recaudación e ingresos en el mediano plazo:</w:t>
      </w:r>
    </w:p>
    <w:p w14:paraId="5DC3A930" w14:textId="77777777" w:rsidR="00C426D5" w:rsidRPr="00C426D5" w:rsidRDefault="00C426D5" w:rsidP="00C426D5">
      <w:pPr>
        <w:shd w:val="clear" w:color="auto" w:fill="FFFFFF"/>
        <w:spacing w:after="0" w:line="240" w:lineRule="auto"/>
        <w:ind w:left="360"/>
        <w:jc w:val="both"/>
        <w:rPr>
          <w:rFonts w:eastAsia="Times New Roman"/>
          <w:color w:val="000000"/>
          <w:sz w:val="24"/>
          <w:szCs w:val="24"/>
          <w:lang w:eastAsia="es-MX"/>
        </w:rPr>
      </w:pPr>
      <w:r w:rsidRPr="00C426D5">
        <w:rPr>
          <w:rFonts w:ascii="Arial" w:eastAsia="Times New Roman" w:hAnsi="Arial" w:cs="Arial"/>
          <w:color w:val="212121"/>
          <w:sz w:val="20"/>
          <w:szCs w:val="20"/>
          <w:u w:val="single"/>
          <w:shd w:val="clear" w:color="auto" w:fill="FFFFFF"/>
          <w:lang w:eastAsia="es-MX"/>
        </w:rPr>
        <w:t>Se proyecta recaudar un total de </w:t>
      </w:r>
      <w:r w:rsidRPr="00C426D5">
        <w:rPr>
          <w:rFonts w:ascii="Arial" w:eastAsia="Times New Roman" w:hAnsi="Arial" w:cs="Arial"/>
          <w:b/>
          <w:bCs/>
          <w:color w:val="212121"/>
          <w:sz w:val="20"/>
          <w:szCs w:val="20"/>
          <w:u w:val="single"/>
          <w:shd w:val="clear" w:color="auto" w:fill="FFFFFF"/>
          <w:lang w:eastAsia="es-MX"/>
        </w:rPr>
        <w:t>$469,789,911.89</w:t>
      </w:r>
      <w:r w:rsidRPr="00C426D5">
        <w:rPr>
          <w:rFonts w:ascii="Arial" w:eastAsia="Times New Roman" w:hAnsi="Arial" w:cs="Arial"/>
          <w:color w:val="212121"/>
          <w:sz w:val="20"/>
          <w:szCs w:val="20"/>
          <w:u w:val="single"/>
          <w:shd w:val="clear" w:color="auto" w:fill="FFFFFF"/>
          <w:lang w:eastAsia="es-MX"/>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C426D5">
        <w:rPr>
          <w:rFonts w:ascii="Arial" w:eastAsia="Times New Roman" w:hAnsi="Arial" w:cs="Arial"/>
          <w:b/>
          <w:bCs/>
          <w:color w:val="000000"/>
          <w:sz w:val="20"/>
          <w:szCs w:val="20"/>
          <w:u w:val="single"/>
          <w:shd w:val="clear" w:color="auto" w:fill="FFFFFF"/>
          <w:lang w:eastAsia="es-MX"/>
        </w:rPr>
        <w:t>Dic</w:t>
      </w:r>
      <w:r w:rsidRPr="00C426D5">
        <w:rPr>
          <w:rFonts w:ascii="Arial" w:eastAsia="Times New Roman" w:hAnsi="Arial" w:cs="Arial"/>
          <w:b/>
          <w:bCs/>
          <w:color w:val="212121"/>
          <w:sz w:val="20"/>
          <w:szCs w:val="20"/>
          <w:u w:val="single"/>
          <w:shd w:val="clear" w:color="auto" w:fill="FFFFFF"/>
          <w:lang w:eastAsia="es-MX"/>
        </w:rPr>
        <w:t>iembre de 2020</w:t>
      </w:r>
      <w:r w:rsidRPr="00C426D5">
        <w:rPr>
          <w:rFonts w:ascii="Arial" w:eastAsia="Times New Roman" w:hAnsi="Arial" w:cs="Arial"/>
          <w:color w:val="212121"/>
          <w:sz w:val="20"/>
          <w:szCs w:val="20"/>
          <w:u w:val="single"/>
          <w:shd w:val="clear" w:color="auto" w:fill="FFFFFF"/>
          <w:lang w:eastAsia="es-MX"/>
        </w:rPr>
        <w:t>, se logró recaudar un total de </w:t>
      </w:r>
      <w:r w:rsidRPr="00C426D5">
        <w:rPr>
          <w:rFonts w:ascii="Arial" w:eastAsia="Times New Roman" w:hAnsi="Arial" w:cs="Arial"/>
          <w:b/>
          <w:bCs/>
          <w:color w:val="212121"/>
          <w:sz w:val="20"/>
          <w:szCs w:val="20"/>
          <w:u w:val="single"/>
          <w:shd w:val="clear" w:color="auto" w:fill="FFFFFF"/>
          <w:lang w:eastAsia="es-MX"/>
        </w:rPr>
        <w:t>$</w:t>
      </w:r>
      <w:proofErr w:type="gramStart"/>
      <w:r w:rsidRPr="00C426D5">
        <w:rPr>
          <w:rFonts w:ascii="Arial" w:eastAsia="Times New Roman" w:hAnsi="Arial" w:cs="Arial"/>
          <w:b/>
          <w:bCs/>
          <w:color w:val="212121"/>
          <w:sz w:val="20"/>
          <w:szCs w:val="20"/>
          <w:u w:val="single"/>
          <w:shd w:val="clear" w:color="auto" w:fill="FFFFFF"/>
          <w:lang w:eastAsia="es-MX"/>
        </w:rPr>
        <w:t>475,396,700.14  </w:t>
      </w:r>
      <w:r w:rsidRPr="00C426D5">
        <w:rPr>
          <w:rFonts w:ascii="Arial" w:eastAsia="Times New Roman" w:hAnsi="Arial" w:cs="Arial"/>
          <w:color w:val="212121"/>
          <w:sz w:val="20"/>
          <w:szCs w:val="20"/>
          <w:u w:val="single"/>
          <w:shd w:val="clear" w:color="auto" w:fill="FFFFFF"/>
          <w:lang w:val="es-ES" w:eastAsia="es-MX"/>
        </w:rPr>
        <w:t>Lo</w:t>
      </w:r>
      <w:proofErr w:type="gramEnd"/>
      <w:r w:rsidRPr="00C426D5">
        <w:rPr>
          <w:rFonts w:ascii="Arial" w:eastAsia="Times New Roman" w:hAnsi="Arial" w:cs="Arial"/>
          <w:color w:val="212121"/>
          <w:sz w:val="20"/>
          <w:szCs w:val="20"/>
          <w:u w:val="single"/>
          <w:shd w:val="clear" w:color="auto" w:fill="FFFFFF"/>
          <w:lang w:val="es-ES" w:eastAsia="es-MX"/>
        </w:rPr>
        <w:t xml:space="preserve"> anterior representa un 101.19</w:t>
      </w:r>
      <w:r w:rsidRPr="00C426D5">
        <w:rPr>
          <w:rFonts w:ascii="Arial" w:eastAsia="Times New Roman" w:hAnsi="Arial" w:cs="Arial"/>
          <w:b/>
          <w:bCs/>
          <w:color w:val="212121"/>
          <w:sz w:val="20"/>
          <w:szCs w:val="20"/>
          <w:u w:val="single"/>
          <w:shd w:val="clear" w:color="auto" w:fill="FFFFFF"/>
          <w:lang w:val="es-ES" w:eastAsia="es-MX"/>
        </w:rPr>
        <w:t>%</w:t>
      </w:r>
      <w:r w:rsidRPr="00C426D5">
        <w:rPr>
          <w:rFonts w:ascii="Arial" w:eastAsia="Times New Roman" w:hAnsi="Arial" w:cs="Arial"/>
          <w:color w:val="212121"/>
          <w:sz w:val="20"/>
          <w:szCs w:val="20"/>
          <w:u w:val="single"/>
          <w:shd w:val="clear" w:color="auto" w:fill="FFFFFF"/>
          <w:lang w:val="es-ES" w:eastAsia="es-MX"/>
        </w:rPr>
        <w:t> del total presupuestado.</w:t>
      </w:r>
    </w:p>
    <w:p w14:paraId="6031E16D" w14:textId="77777777" w:rsidR="00DA79F1" w:rsidRPr="00DA79F1" w:rsidRDefault="00DA79F1" w:rsidP="00DA79F1">
      <w:pPr>
        <w:shd w:val="clear" w:color="auto" w:fill="FFFFFF"/>
        <w:spacing w:after="0" w:line="360" w:lineRule="auto"/>
        <w:rPr>
          <w:rFonts w:eastAsia="Times New Roman"/>
          <w:color w:val="000000"/>
          <w:sz w:val="24"/>
          <w:szCs w:val="24"/>
          <w:lang w:eastAsia="es-MX"/>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214FBFE0"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w:t>
      </w:r>
      <w:r w:rsidR="00DA79F1">
        <w:rPr>
          <w:rFonts w:ascii="Arial" w:hAnsi="Arial" w:cs="Arial"/>
          <w:sz w:val="20"/>
          <w:szCs w:val="20"/>
          <w:u w:val="single"/>
        </w:rPr>
        <w:t>20</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1867881C"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w:t>
      </w:r>
      <w:r w:rsidR="00DA79F1">
        <w:rPr>
          <w:rFonts w:cs="Calibri"/>
          <w:u w:val="single"/>
        </w:rPr>
        <w:t>N</w:t>
      </w:r>
      <w:r w:rsidR="0056749C" w:rsidRPr="00DC0164">
        <w:rPr>
          <w:rFonts w:cs="Calibri"/>
          <w:u w:val="single"/>
        </w:rPr>
        <w:t>R_</w:t>
      </w:r>
      <w:r w:rsidRPr="00DC0164">
        <w:rPr>
          <w:rFonts w:cs="Calibri"/>
          <w:u w:val="single"/>
        </w:rPr>
        <w:t>MCYA_AWA</w:t>
      </w:r>
      <w:r w:rsidR="00770D60">
        <w:rPr>
          <w:rFonts w:cs="Calibri"/>
          <w:u w:val="single"/>
        </w:rPr>
        <w:t>_2004</w:t>
      </w:r>
      <w:r w:rsidRPr="00DC0164">
        <w:rPr>
          <w:rFonts w:cs="Calibri"/>
          <w:u w:val="single"/>
        </w:rPr>
        <w:t>-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55AB" w14:textId="77777777" w:rsidR="00A92247" w:rsidRDefault="00A92247" w:rsidP="00E00323">
      <w:pPr>
        <w:spacing w:after="0" w:line="240" w:lineRule="auto"/>
      </w:pPr>
      <w:r>
        <w:separator/>
      </w:r>
    </w:p>
  </w:endnote>
  <w:endnote w:type="continuationSeparator" w:id="0">
    <w:p w14:paraId="5391F537" w14:textId="77777777" w:rsidR="00A92247" w:rsidRDefault="00A922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FE2210" w:rsidRDefault="00FE2210">
        <w:pPr>
          <w:pStyle w:val="Piedepgina"/>
          <w:jc w:val="right"/>
        </w:pPr>
        <w:r>
          <w:fldChar w:fldCharType="begin"/>
        </w:r>
        <w:r>
          <w:instrText>PAGE   \* MERGEFORMAT</w:instrText>
        </w:r>
        <w:r>
          <w:fldChar w:fldCharType="separate"/>
        </w:r>
        <w:r w:rsidR="00C426D5" w:rsidRPr="00C426D5">
          <w:rPr>
            <w:noProof/>
            <w:lang w:val="es-ES"/>
          </w:rPr>
          <w:t>11</w:t>
        </w:r>
        <w:r>
          <w:fldChar w:fldCharType="end"/>
        </w:r>
      </w:p>
    </w:sdtContent>
  </w:sdt>
  <w:p w14:paraId="37983FFD" w14:textId="77777777" w:rsidR="00FE2210" w:rsidRDefault="00FE2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7D91" w14:textId="77777777" w:rsidR="00A92247" w:rsidRDefault="00A92247" w:rsidP="00E00323">
      <w:pPr>
        <w:spacing w:after="0" w:line="240" w:lineRule="auto"/>
      </w:pPr>
      <w:r>
        <w:separator/>
      </w:r>
    </w:p>
  </w:footnote>
  <w:footnote w:type="continuationSeparator" w:id="0">
    <w:p w14:paraId="17A47E7D" w14:textId="77777777" w:rsidR="00A92247" w:rsidRDefault="00A922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584F643E" w:rsidR="00FE2210" w:rsidRDefault="00FE2210" w:rsidP="00A4610E">
    <w:pPr>
      <w:pStyle w:val="Encabezado"/>
      <w:spacing w:after="0" w:line="240" w:lineRule="auto"/>
      <w:jc w:val="center"/>
    </w:pPr>
    <w:r>
      <w:t>JUNTA MUNICIPAL DE AGUA POTABLE Y ALCANTARILLADO DE CELAYA, GTO.</w:t>
    </w:r>
  </w:p>
  <w:p w14:paraId="651A4C4F" w14:textId="5F98F2AD" w:rsidR="00FE2210" w:rsidRDefault="00434E9C" w:rsidP="00823CBA">
    <w:pPr>
      <w:pStyle w:val="Encabezado"/>
      <w:spacing w:after="0" w:line="240" w:lineRule="auto"/>
      <w:jc w:val="center"/>
    </w:pPr>
    <w:r>
      <w:t xml:space="preserve">CUENTA PÚBLICA </w:t>
    </w:r>
    <w:r w:rsidR="00FE2210" w:rsidRPr="00A4610E">
      <w:t>CORRESPONDI</w:t>
    </w:r>
    <w:r w:rsidR="00FE2210">
      <w:t>ENTE AL 3</w:t>
    </w:r>
    <w:r w:rsidR="00AF4B65">
      <w:t>1 DE DICIEMBRE</w:t>
    </w:r>
    <w:r w:rsidR="00FE2210">
      <w:t xml:space="preserv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C219A"/>
    <w:multiLevelType w:val="hybridMultilevel"/>
    <w:tmpl w:val="AF8E6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501FBE"/>
    <w:multiLevelType w:val="hybridMultilevel"/>
    <w:tmpl w:val="FCB66FDE"/>
    <w:lvl w:ilvl="0" w:tplc="3D18361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316D46"/>
    <w:multiLevelType w:val="hybridMultilevel"/>
    <w:tmpl w:val="F31ADE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1B5708"/>
    <w:multiLevelType w:val="hybridMultilevel"/>
    <w:tmpl w:val="7E0AE94A"/>
    <w:lvl w:ilvl="0" w:tplc="9490BF3C">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24E9A"/>
    <w:rsid w:val="00434E9C"/>
    <w:rsid w:val="00435A87"/>
    <w:rsid w:val="00436C88"/>
    <w:rsid w:val="004A58C8"/>
    <w:rsid w:val="004D6F4B"/>
    <w:rsid w:val="0054701E"/>
    <w:rsid w:val="0056749C"/>
    <w:rsid w:val="005961A2"/>
    <w:rsid w:val="005B664F"/>
    <w:rsid w:val="005D3E43"/>
    <w:rsid w:val="005D7D5C"/>
    <w:rsid w:val="005E231E"/>
    <w:rsid w:val="00657009"/>
    <w:rsid w:val="00663833"/>
    <w:rsid w:val="00681C79"/>
    <w:rsid w:val="00697377"/>
    <w:rsid w:val="006D493A"/>
    <w:rsid w:val="006E0A86"/>
    <w:rsid w:val="007359DA"/>
    <w:rsid w:val="007610BC"/>
    <w:rsid w:val="007653AB"/>
    <w:rsid w:val="00770D60"/>
    <w:rsid w:val="007714AB"/>
    <w:rsid w:val="007D1E76"/>
    <w:rsid w:val="007D4484"/>
    <w:rsid w:val="007F73F3"/>
    <w:rsid w:val="00805534"/>
    <w:rsid w:val="00823CBA"/>
    <w:rsid w:val="0083728C"/>
    <w:rsid w:val="0086459F"/>
    <w:rsid w:val="008657B0"/>
    <w:rsid w:val="008A41BD"/>
    <w:rsid w:val="008C3BB8"/>
    <w:rsid w:val="008E076C"/>
    <w:rsid w:val="009019D9"/>
    <w:rsid w:val="0092765C"/>
    <w:rsid w:val="00A4610E"/>
    <w:rsid w:val="00A57224"/>
    <w:rsid w:val="00A730E0"/>
    <w:rsid w:val="00A84D75"/>
    <w:rsid w:val="00A92247"/>
    <w:rsid w:val="00AA41E5"/>
    <w:rsid w:val="00AB722B"/>
    <w:rsid w:val="00AE1F6A"/>
    <w:rsid w:val="00AF4B65"/>
    <w:rsid w:val="00B25852"/>
    <w:rsid w:val="00B84C93"/>
    <w:rsid w:val="00B864D4"/>
    <w:rsid w:val="00C043A8"/>
    <w:rsid w:val="00C2637B"/>
    <w:rsid w:val="00C426D5"/>
    <w:rsid w:val="00C66CFA"/>
    <w:rsid w:val="00C97E1E"/>
    <w:rsid w:val="00CB41C4"/>
    <w:rsid w:val="00CB49A2"/>
    <w:rsid w:val="00CF1316"/>
    <w:rsid w:val="00D00227"/>
    <w:rsid w:val="00D02C94"/>
    <w:rsid w:val="00D13C44"/>
    <w:rsid w:val="00D975B1"/>
    <w:rsid w:val="00DA79F1"/>
    <w:rsid w:val="00DC0164"/>
    <w:rsid w:val="00DC319D"/>
    <w:rsid w:val="00DD206B"/>
    <w:rsid w:val="00DE11F9"/>
    <w:rsid w:val="00E00323"/>
    <w:rsid w:val="00E74967"/>
    <w:rsid w:val="00EA37F5"/>
    <w:rsid w:val="00EA7915"/>
    <w:rsid w:val="00EA7959"/>
    <w:rsid w:val="00F46719"/>
    <w:rsid w:val="00F53CEE"/>
    <w:rsid w:val="00F54F6F"/>
    <w:rsid w:val="00F63426"/>
    <w:rsid w:val="00FE2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224DA98B-229D-49D9-89B6-A51832A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840773822">
      <w:bodyDiv w:val="1"/>
      <w:marLeft w:val="0"/>
      <w:marRight w:val="0"/>
      <w:marTop w:val="0"/>
      <w:marBottom w:val="0"/>
      <w:divBdr>
        <w:top w:val="none" w:sz="0" w:space="0" w:color="auto"/>
        <w:left w:val="none" w:sz="0" w:space="0" w:color="auto"/>
        <w:bottom w:val="none" w:sz="0" w:space="0" w:color="auto"/>
        <w:right w:val="none" w:sz="0" w:space="0" w:color="auto"/>
      </w:divBdr>
      <w:divsChild>
        <w:div w:id="237712976">
          <w:marLeft w:val="0"/>
          <w:marRight w:val="0"/>
          <w:marTop w:val="0"/>
          <w:marBottom w:val="0"/>
          <w:divBdr>
            <w:top w:val="none" w:sz="0" w:space="0" w:color="auto"/>
            <w:left w:val="none" w:sz="0" w:space="0" w:color="auto"/>
            <w:bottom w:val="none" w:sz="0" w:space="0" w:color="auto"/>
            <w:right w:val="none" w:sz="0" w:space="0" w:color="auto"/>
          </w:divBdr>
        </w:div>
        <w:div w:id="874119727">
          <w:marLeft w:val="0"/>
          <w:marRight w:val="0"/>
          <w:marTop w:val="0"/>
          <w:marBottom w:val="0"/>
          <w:divBdr>
            <w:top w:val="none" w:sz="0" w:space="0" w:color="auto"/>
            <w:left w:val="none" w:sz="0" w:space="0" w:color="auto"/>
            <w:bottom w:val="none" w:sz="0" w:space="0" w:color="auto"/>
            <w:right w:val="none" w:sz="0" w:space="0" w:color="auto"/>
          </w:divBdr>
        </w:div>
        <w:div w:id="1396969370">
          <w:marLeft w:val="0"/>
          <w:marRight w:val="0"/>
          <w:marTop w:val="0"/>
          <w:marBottom w:val="0"/>
          <w:divBdr>
            <w:top w:val="none" w:sz="0" w:space="0" w:color="auto"/>
            <w:left w:val="none" w:sz="0" w:space="0" w:color="auto"/>
            <w:bottom w:val="none" w:sz="0" w:space="0" w:color="auto"/>
            <w:right w:val="none" w:sz="0" w:space="0" w:color="auto"/>
          </w:divBdr>
        </w:div>
        <w:div w:id="275335544">
          <w:marLeft w:val="0"/>
          <w:marRight w:val="0"/>
          <w:marTop w:val="0"/>
          <w:marBottom w:val="0"/>
          <w:divBdr>
            <w:top w:val="none" w:sz="0" w:space="0" w:color="auto"/>
            <w:left w:val="none" w:sz="0" w:space="0" w:color="auto"/>
            <w:bottom w:val="none" w:sz="0" w:space="0" w:color="auto"/>
            <w:right w:val="none" w:sz="0" w:space="0" w:color="auto"/>
          </w:divBdr>
        </w:div>
        <w:div w:id="545407052">
          <w:marLeft w:val="0"/>
          <w:marRight w:val="0"/>
          <w:marTop w:val="0"/>
          <w:marBottom w:val="0"/>
          <w:divBdr>
            <w:top w:val="none" w:sz="0" w:space="0" w:color="auto"/>
            <w:left w:val="none" w:sz="0" w:space="0" w:color="auto"/>
            <w:bottom w:val="none" w:sz="0" w:space="0" w:color="auto"/>
            <w:right w:val="none" w:sz="0" w:space="0" w:color="auto"/>
          </w:divBdr>
        </w:div>
      </w:divsChild>
    </w:div>
    <w:div w:id="868110313">
      <w:bodyDiv w:val="1"/>
      <w:marLeft w:val="0"/>
      <w:marRight w:val="0"/>
      <w:marTop w:val="0"/>
      <w:marBottom w:val="0"/>
      <w:divBdr>
        <w:top w:val="none" w:sz="0" w:space="0" w:color="auto"/>
        <w:left w:val="none" w:sz="0" w:space="0" w:color="auto"/>
        <w:bottom w:val="none" w:sz="0" w:space="0" w:color="auto"/>
        <w:right w:val="none" w:sz="0" w:space="0" w:color="auto"/>
      </w:divBdr>
      <w:divsChild>
        <w:div w:id="1658606246">
          <w:marLeft w:val="0"/>
          <w:marRight w:val="0"/>
          <w:marTop w:val="0"/>
          <w:marBottom w:val="0"/>
          <w:divBdr>
            <w:top w:val="none" w:sz="0" w:space="0" w:color="auto"/>
            <w:left w:val="none" w:sz="0" w:space="0" w:color="auto"/>
            <w:bottom w:val="none" w:sz="0" w:space="0" w:color="auto"/>
            <w:right w:val="none" w:sz="0" w:space="0" w:color="auto"/>
          </w:divBdr>
        </w:div>
        <w:div w:id="1039279011">
          <w:marLeft w:val="0"/>
          <w:marRight w:val="0"/>
          <w:marTop w:val="0"/>
          <w:marBottom w:val="0"/>
          <w:divBdr>
            <w:top w:val="none" w:sz="0" w:space="0" w:color="auto"/>
            <w:left w:val="none" w:sz="0" w:space="0" w:color="auto"/>
            <w:bottom w:val="none" w:sz="0" w:space="0" w:color="auto"/>
            <w:right w:val="none" w:sz="0" w:space="0" w:color="auto"/>
          </w:divBdr>
        </w:div>
        <w:div w:id="1193957847">
          <w:marLeft w:val="0"/>
          <w:marRight w:val="0"/>
          <w:marTop w:val="0"/>
          <w:marBottom w:val="0"/>
          <w:divBdr>
            <w:top w:val="none" w:sz="0" w:space="0" w:color="auto"/>
            <w:left w:val="none" w:sz="0" w:space="0" w:color="auto"/>
            <w:bottom w:val="none" w:sz="0" w:space="0" w:color="auto"/>
            <w:right w:val="none" w:sz="0" w:space="0" w:color="auto"/>
          </w:divBdr>
        </w:div>
        <w:div w:id="803544924">
          <w:marLeft w:val="0"/>
          <w:marRight w:val="0"/>
          <w:marTop w:val="0"/>
          <w:marBottom w:val="0"/>
          <w:divBdr>
            <w:top w:val="none" w:sz="0" w:space="0" w:color="auto"/>
            <w:left w:val="none" w:sz="0" w:space="0" w:color="auto"/>
            <w:bottom w:val="none" w:sz="0" w:space="0" w:color="auto"/>
            <w:right w:val="none" w:sz="0" w:space="0" w:color="auto"/>
          </w:divBdr>
        </w:div>
        <w:div w:id="724137103">
          <w:marLeft w:val="0"/>
          <w:marRight w:val="0"/>
          <w:marTop w:val="0"/>
          <w:marBottom w:val="0"/>
          <w:divBdr>
            <w:top w:val="none" w:sz="0" w:space="0" w:color="auto"/>
            <w:left w:val="none" w:sz="0" w:space="0" w:color="auto"/>
            <w:bottom w:val="none" w:sz="0" w:space="0" w:color="auto"/>
            <w:right w:val="none" w:sz="0" w:space="0" w:color="auto"/>
          </w:divBdr>
        </w:div>
      </w:divsChild>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072123371">
      <w:bodyDiv w:val="1"/>
      <w:marLeft w:val="0"/>
      <w:marRight w:val="0"/>
      <w:marTop w:val="0"/>
      <w:marBottom w:val="0"/>
      <w:divBdr>
        <w:top w:val="none" w:sz="0" w:space="0" w:color="auto"/>
        <w:left w:val="none" w:sz="0" w:space="0" w:color="auto"/>
        <w:bottom w:val="none" w:sz="0" w:space="0" w:color="auto"/>
        <w:right w:val="none" w:sz="0" w:space="0" w:color="auto"/>
      </w:divBdr>
    </w:div>
    <w:div w:id="1130057312">
      <w:bodyDiv w:val="1"/>
      <w:marLeft w:val="0"/>
      <w:marRight w:val="0"/>
      <w:marTop w:val="0"/>
      <w:marBottom w:val="0"/>
      <w:divBdr>
        <w:top w:val="none" w:sz="0" w:space="0" w:color="auto"/>
        <w:left w:val="none" w:sz="0" w:space="0" w:color="auto"/>
        <w:bottom w:val="none" w:sz="0" w:space="0" w:color="auto"/>
        <w:right w:val="none" w:sz="0" w:space="0" w:color="auto"/>
      </w:divBdr>
      <w:divsChild>
        <w:div w:id="87889953">
          <w:marLeft w:val="0"/>
          <w:marRight w:val="0"/>
          <w:marTop w:val="0"/>
          <w:marBottom w:val="0"/>
          <w:divBdr>
            <w:top w:val="none" w:sz="0" w:space="0" w:color="auto"/>
            <w:left w:val="none" w:sz="0" w:space="0" w:color="auto"/>
            <w:bottom w:val="none" w:sz="0" w:space="0" w:color="auto"/>
            <w:right w:val="none" w:sz="0" w:space="0" w:color="auto"/>
          </w:divBdr>
        </w:div>
        <w:div w:id="651833293">
          <w:marLeft w:val="0"/>
          <w:marRight w:val="0"/>
          <w:marTop w:val="0"/>
          <w:marBottom w:val="0"/>
          <w:divBdr>
            <w:top w:val="none" w:sz="0" w:space="0" w:color="auto"/>
            <w:left w:val="none" w:sz="0" w:space="0" w:color="auto"/>
            <w:bottom w:val="none" w:sz="0" w:space="0" w:color="auto"/>
            <w:right w:val="none" w:sz="0" w:space="0" w:color="auto"/>
          </w:divBdr>
        </w:div>
        <w:div w:id="1723600561">
          <w:marLeft w:val="0"/>
          <w:marRight w:val="0"/>
          <w:marTop w:val="0"/>
          <w:marBottom w:val="0"/>
          <w:divBdr>
            <w:top w:val="none" w:sz="0" w:space="0" w:color="auto"/>
            <w:left w:val="none" w:sz="0" w:space="0" w:color="auto"/>
            <w:bottom w:val="none" w:sz="0" w:space="0" w:color="auto"/>
            <w:right w:val="none" w:sz="0" w:space="0" w:color="auto"/>
          </w:divBdr>
        </w:div>
        <w:div w:id="456723200">
          <w:marLeft w:val="0"/>
          <w:marRight w:val="0"/>
          <w:marTop w:val="0"/>
          <w:marBottom w:val="0"/>
          <w:divBdr>
            <w:top w:val="none" w:sz="0" w:space="0" w:color="auto"/>
            <w:left w:val="none" w:sz="0" w:space="0" w:color="auto"/>
            <w:bottom w:val="none" w:sz="0" w:space="0" w:color="auto"/>
            <w:right w:val="none" w:sz="0" w:space="0" w:color="auto"/>
          </w:divBdr>
        </w:div>
        <w:div w:id="198592018">
          <w:marLeft w:val="0"/>
          <w:marRight w:val="0"/>
          <w:marTop w:val="0"/>
          <w:marBottom w:val="0"/>
          <w:divBdr>
            <w:top w:val="none" w:sz="0" w:space="0" w:color="auto"/>
            <w:left w:val="none" w:sz="0" w:space="0" w:color="auto"/>
            <w:bottom w:val="none" w:sz="0" w:space="0" w:color="auto"/>
            <w:right w:val="none" w:sz="0" w:space="0" w:color="auto"/>
          </w:divBdr>
        </w:div>
      </w:divsChild>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C4E08E-5C11-46FC-922E-37C0C305E336}">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19071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dcterms:created xsi:type="dcterms:W3CDTF">2021-04-16T16:21:00Z</dcterms:created>
  <dcterms:modified xsi:type="dcterms:W3CDTF">2021-04-16T16:21:00Z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