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4D7EAD"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37DD7F92" w:rsidR="007D1E76" w:rsidRPr="00E74967" w:rsidRDefault="009019D9" w:rsidP="00CB41C4">
      <w:pPr>
        <w:tabs>
          <w:tab w:val="left" w:leader="underscore" w:pos="9639"/>
        </w:tabs>
        <w:spacing w:after="0" w:line="240" w:lineRule="auto"/>
        <w:jc w:val="both"/>
        <w:rPr>
          <w:rFonts w:cs="Calibri"/>
        </w:rPr>
      </w:pPr>
      <w:r>
        <w:rPr>
          <w:rFonts w:cs="Calibri"/>
        </w:rPr>
        <w:t xml:space="preserve"> </w:t>
      </w: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4D7EAD">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4D7EAD">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4D7EAD">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4D7EAD">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4D7EAD">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4D7EAD">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4D7EAD">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4D7EAD">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4D7EAD">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4D7EAD">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4D7EAD">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4D7EAD">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4D7EAD">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4D7EAD">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4D7EAD">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4D7EAD">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5D49B377" w14:textId="77777777" w:rsidR="001F1242" w:rsidRDefault="001F1242" w:rsidP="001F1242">
      <w:pPr>
        <w:rPr>
          <w:rFonts w:ascii="Arial" w:hAnsi="Arial" w:cs="Arial"/>
          <w:sz w:val="20"/>
          <w:szCs w:val="20"/>
          <w:u w:val="single"/>
        </w:rPr>
      </w:pPr>
    </w:p>
    <w:p w14:paraId="7F142FBC" w14:textId="77777777" w:rsidR="001F1242" w:rsidRPr="00E7588A" w:rsidRDefault="001F1242" w:rsidP="001F1242">
      <w:pPr>
        <w:rPr>
          <w:rFonts w:ascii="Arial" w:hAnsi="Arial" w:cs="Arial"/>
          <w:sz w:val="20"/>
          <w:szCs w:val="20"/>
          <w:u w:val="single"/>
        </w:rPr>
      </w:pPr>
      <w:r>
        <w:rPr>
          <w:rFonts w:ascii="Arial" w:hAnsi="Arial" w:cs="Arial"/>
          <w:sz w:val="20"/>
          <w:szCs w:val="20"/>
          <w:u w:val="single"/>
        </w:rPr>
        <w:t>La prestación del Servicio de Agua Potable y alcantarillado, drenaje, tratamiento y disposición de las aguas residuales y tratadas.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3CD89E9D" w14:textId="77777777" w:rsidR="001F1242" w:rsidRDefault="001F1242" w:rsidP="001F1242">
      <w:pPr>
        <w:pStyle w:val="NormalWeb"/>
        <w:shd w:val="clear" w:color="auto" w:fill="FFFFFF"/>
        <w:spacing w:before="0" w:beforeAutospacing="0" w:after="189" w:afterAutospacing="0" w:line="360" w:lineRule="auto"/>
        <w:jc w:val="both"/>
        <w:rPr>
          <w:rFonts w:ascii="Arial" w:eastAsia="Calibri" w:hAnsi="Arial" w:cs="Arial"/>
          <w:sz w:val="20"/>
          <w:szCs w:val="20"/>
          <w:u w:val="single"/>
          <w:lang w:eastAsia="en-US"/>
        </w:rPr>
      </w:pPr>
    </w:p>
    <w:p w14:paraId="1423118A" w14:textId="77777777" w:rsidR="00A84D75" w:rsidRPr="00A84D75" w:rsidRDefault="00A84D75" w:rsidP="00A84D75">
      <w:pPr>
        <w:autoSpaceDE w:val="0"/>
        <w:autoSpaceDN w:val="0"/>
        <w:adjustRightInd w:val="0"/>
        <w:spacing w:line="360" w:lineRule="auto"/>
        <w:jc w:val="both"/>
        <w:rPr>
          <w:rFonts w:ascii="Arial" w:hAnsi="Arial" w:cs="Arial"/>
          <w:sz w:val="20"/>
          <w:szCs w:val="20"/>
          <w:u w:val="single"/>
        </w:rPr>
      </w:pPr>
      <w:r w:rsidRPr="00A84D75">
        <w:rPr>
          <w:rFonts w:ascii="Arial" w:hAnsi="Arial" w:cs="Arial"/>
          <w:sz w:val="20"/>
          <w:szCs w:val="20"/>
          <w:u w:val="single"/>
        </w:rPr>
        <w:t xml:space="preserve">El martes 22 de mayo de 2018, en el marco de su LX Reunión Trimestral, la segunda reunión trimestral del año 2018, el Centro de </w:t>
      </w:r>
      <w:proofErr w:type="spellStart"/>
      <w:r w:rsidRPr="00A84D75">
        <w:rPr>
          <w:rFonts w:ascii="Arial" w:hAnsi="Arial" w:cs="Arial"/>
          <w:sz w:val="20"/>
          <w:szCs w:val="20"/>
          <w:u w:val="single"/>
        </w:rPr>
        <w:t>Modelística</w:t>
      </w:r>
      <w:proofErr w:type="spellEnd"/>
      <w:r w:rsidRPr="00A84D75">
        <w:rPr>
          <w:rFonts w:ascii="Arial" w:hAnsi="Arial" w:cs="Arial"/>
          <w:sz w:val="20"/>
          <w:szCs w:val="20"/>
          <w:u w:val="single"/>
        </w:rPr>
        <w:t xml:space="preserve"> y Pronósticos Económicos (CEMPE), de la Facultad de Economía de la Universidad Nacional Autónoma de México (UNAM), presentó sus “Pronósticos económicos 2018-2019” para la economía mexicana. A continuación, se presenta la información.</w:t>
      </w:r>
    </w:p>
    <w:p w14:paraId="2064A4F0" w14:textId="77777777" w:rsidR="00A84D75" w:rsidRPr="000137B0" w:rsidRDefault="00A84D75" w:rsidP="00A84D75">
      <w:pPr>
        <w:pStyle w:val="Prrafodelista"/>
        <w:autoSpaceDE w:val="0"/>
        <w:autoSpaceDN w:val="0"/>
        <w:adjustRightInd w:val="0"/>
        <w:rPr>
          <w:b/>
          <w:bCs/>
          <w:color w:val="000000"/>
          <w:sz w:val="13"/>
          <w:szCs w:val="13"/>
        </w:rPr>
      </w:pPr>
      <w:r>
        <w:rPr>
          <w:noProof/>
          <w:lang w:eastAsia="es-MX"/>
        </w:rPr>
        <w:drawing>
          <wp:inline distT="0" distB="0" distL="0" distR="0" wp14:anchorId="78BD000F" wp14:editId="05B82F3F">
            <wp:extent cx="4591184" cy="299327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15614" t="24185" r="15139" b="3533"/>
                    <a:stretch>
                      <a:fillRect/>
                    </a:stretch>
                  </pic:blipFill>
                  <pic:spPr bwMode="auto">
                    <a:xfrm>
                      <a:off x="0" y="0"/>
                      <a:ext cx="4594346" cy="2995334"/>
                    </a:xfrm>
                    <a:prstGeom prst="rect">
                      <a:avLst/>
                    </a:prstGeom>
                    <a:noFill/>
                    <a:ln w="9525">
                      <a:noFill/>
                      <a:miter lim="800000"/>
                      <a:headEnd/>
                      <a:tailEnd/>
                    </a:ln>
                  </pic:spPr>
                </pic:pic>
              </a:graphicData>
            </a:graphic>
          </wp:inline>
        </w:drawing>
      </w:r>
    </w:p>
    <w:p w14:paraId="501861CE" w14:textId="77777777" w:rsidR="00A84D75" w:rsidRDefault="00A84D75" w:rsidP="00A84D75">
      <w:pPr>
        <w:pStyle w:val="Prrafodelista"/>
        <w:autoSpaceDE w:val="0"/>
        <w:autoSpaceDN w:val="0"/>
        <w:adjustRightInd w:val="0"/>
        <w:rPr>
          <w:b/>
          <w:bCs/>
          <w:color w:val="000000"/>
          <w:sz w:val="20"/>
          <w:szCs w:val="20"/>
        </w:rPr>
      </w:pPr>
    </w:p>
    <w:p w14:paraId="526CF4C6" w14:textId="77777777" w:rsidR="00A84D75" w:rsidRPr="000137B0" w:rsidRDefault="00A84D75" w:rsidP="00A84D75">
      <w:pPr>
        <w:pStyle w:val="Prrafodelista"/>
        <w:autoSpaceDE w:val="0"/>
        <w:autoSpaceDN w:val="0"/>
        <w:adjustRightInd w:val="0"/>
        <w:rPr>
          <w:color w:val="000000"/>
          <w:sz w:val="12"/>
          <w:szCs w:val="20"/>
        </w:rPr>
      </w:pPr>
      <w:r w:rsidRPr="000137B0">
        <w:rPr>
          <w:b/>
          <w:bCs/>
          <w:color w:val="000000"/>
          <w:sz w:val="12"/>
          <w:szCs w:val="20"/>
        </w:rPr>
        <w:t>Fuente de información</w:t>
      </w:r>
      <w:r w:rsidRPr="000137B0">
        <w:rPr>
          <w:color w:val="000000"/>
          <w:sz w:val="12"/>
          <w:szCs w:val="20"/>
        </w:rPr>
        <w:t>:</w:t>
      </w:r>
    </w:p>
    <w:p w14:paraId="38F74112" w14:textId="77777777" w:rsidR="00A84D75" w:rsidRPr="000137B0" w:rsidRDefault="00A84D75" w:rsidP="00A84D75">
      <w:pPr>
        <w:pStyle w:val="Prrafodelista"/>
        <w:autoSpaceDE w:val="0"/>
        <w:autoSpaceDN w:val="0"/>
        <w:adjustRightInd w:val="0"/>
        <w:rPr>
          <w:color w:val="0000FF"/>
          <w:sz w:val="12"/>
          <w:szCs w:val="20"/>
        </w:rPr>
      </w:pPr>
      <w:r w:rsidRPr="000137B0">
        <w:rPr>
          <w:color w:val="0000FF"/>
          <w:sz w:val="12"/>
          <w:szCs w:val="20"/>
        </w:rPr>
        <w:t>http://www.economia.unam.mx/cempe/</w:t>
      </w:r>
    </w:p>
    <w:p w14:paraId="00883406" w14:textId="77777777" w:rsidR="00A84D75" w:rsidRPr="000137B0" w:rsidRDefault="00A84D75" w:rsidP="00A84D75">
      <w:pPr>
        <w:pStyle w:val="Prrafodelista"/>
        <w:autoSpaceDE w:val="0"/>
        <w:autoSpaceDN w:val="0"/>
        <w:adjustRightInd w:val="0"/>
        <w:rPr>
          <w:color w:val="000000"/>
          <w:sz w:val="12"/>
          <w:szCs w:val="20"/>
        </w:rPr>
      </w:pPr>
      <w:r w:rsidRPr="000137B0">
        <w:rPr>
          <w:color w:val="000000"/>
          <w:sz w:val="12"/>
          <w:szCs w:val="20"/>
        </w:rPr>
        <w:t xml:space="preserve">Para tener acceso a la transmisión en vivo, a través de </w:t>
      </w:r>
      <w:proofErr w:type="spellStart"/>
      <w:r w:rsidRPr="000137B0">
        <w:rPr>
          <w:i/>
          <w:iCs/>
          <w:color w:val="000000"/>
          <w:sz w:val="12"/>
          <w:szCs w:val="20"/>
        </w:rPr>
        <w:t>Youtube</w:t>
      </w:r>
      <w:proofErr w:type="spellEnd"/>
      <w:r w:rsidRPr="000137B0">
        <w:rPr>
          <w:i/>
          <w:iCs/>
          <w:color w:val="000000"/>
          <w:sz w:val="12"/>
          <w:szCs w:val="20"/>
        </w:rPr>
        <w:t xml:space="preserve"> </w:t>
      </w:r>
      <w:r w:rsidRPr="000137B0">
        <w:rPr>
          <w:color w:val="000000"/>
          <w:sz w:val="12"/>
          <w:szCs w:val="20"/>
        </w:rPr>
        <w:t>visite:</w:t>
      </w:r>
    </w:p>
    <w:p w14:paraId="04406D8D" w14:textId="77777777" w:rsidR="00A84D75" w:rsidRPr="000137B0" w:rsidRDefault="00A84D75" w:rsidP="00A84D75">
      <w:pPr>
        <w:pStyle w:val="Prrafodelista"/>
        <w:autoSpaceDE w:val="0"/>
        <w:autoSpaceDN w:val="0"/>
        <w:adjustRightInd w:val="0"/>
        <w:rPr>
          <w:color w:val="0000FF"/>
          <w:sz w:val="12"/>
          <w:szCs w:val="20"/>
        </w:rPr>
      </w:pPr>
      <w:r w:rsidRPr="000137B0">
        <w:rPr>
          <w:color w:val="0000FF"/>
          <w:sz w:val="12"/>
          <w:szCs w:val="20"/>
        </w:rPr>
        <w:t>https://www.youtube.com/channel/UCXt14TvEiHQjznm1uaUpbSA</w:t>
      </w:r>
    </w:p>
    <w:p w14:paraId="36B76383" w14:textId="77777777" w:rsidR="00A84D75" w:rsidRPr="000137B0" w:rsidRDefault="00A84D75" w:rsidP="00A84D75">
      <w:pPr>
        <w:pStyle w:val="Prrafodelista"/>
        <w:autoSpaceDE w:val="0"/>
        <w:autoSpaceDN w:val="0"/>
        <w:adjustRightInd w:val="0"/>
        <w:rPr>
          <w:color w:val="0000FF"/>
          <w:sz w:val="12"/>
          <w:szCs w:val="20"/>
        </w:rPr>
      </w:pPr>
      <w:r w:rsidRPr="000137B0">
        <w:rPr>
          <w:color w:val="0000FF"/>
          <w:sz w:val="12"/>
          <w:szCs w:val="20"/>
        </w:rPr>
        <w:t>https://youtu.be/_TVzbp5uiQw</w:t>
      </w:r>
    </w:p>
    <w:p w14:paraId="34715AC9" w14:textId="77777777" w:rsidR="00A84D75" w:rsidRPr="000137B0" w:rsidRDefault="00A84D75" w:rsidP="00A84D75">
      <w:pPr>
        <w:pStyle w:val="Prrafodelista"/>
        <w:autoSpaceDE w:val="0"/>
        <w:autoSpaceDN w:val="0"/>
        <w:adjustRightInd w:val="0"/>
        <w:rPr>
          <w:color w:val="000000"/>
          <w:sz w:val="12"/>
          <w:szCs w:val="20"/>
        </w:rPr>
      </w:pPr>
      <w:r w:rsidRPr="000137B0">
        <w:rPr>
          <w:color w:val="000000"/>
          <w:sz w:val="12"/>
          <w:szCs w:val="20"/>
        </w:rPr>
        <w:t xml:space="preserve">Para tener acceso al evento vía </w:t>
      </w:r>
      <w:r w:rsidRPr="000137B0">
        <w:rPr>
          <w:i/>
          <w:iCs/>
          <w:color w:val="000000"/>
          <w:sz w:val="12"/>
          <w:szCs w:val="20"/>
        </w:rPr>
        <w:t xml:space="preserve">Facebook Live </w:t>
      </w:r>
      <w:r w:rsidRPr="000137B0">
        <w:rPr>
          <w:color w:val="000000"/>
          <w:sz w:val="12"/>
          <w:szCs w:val="20"/>
        </w:rPr>
        <w:t>visite:</w:t>
      </w:r>
    </w:p>
    <w:p w14:paraId="7BB4A277" w14:textId="77777777" w:rsidR="00A84D75" w:rsidRPr="000137B0" w:rsidRDefault="00A84D75" w:rsidP="00A84D75">
      <w:pPr>
        <w:pStyle w:val="Prrafodelista"/>
        <w:autoSpaceDE w:val="0"/>
        <w:autoSpaceDN w:val="0"/>
        <w:adjustRightInd w:val="0"/>
        <w:rPr>
          <w:color w:val="0000FF"/>
          <w:sz w:val="12"/>
          <w:szCs w:val="20"/>
        </w:rPr>
      </w:pPr>
      <w:r w:rsidRPr="000137B0">
        <w:rPr>
          <w:color w:val="0000FF"/>
          <w:sz w:val="12"/>
          <w:szCs w:val="20"/>
        </w:rPr>
        <w:t>https://www.facebook.com/centrodemodelistica.pronosticoseconomicos</w:t>
      </w:r>
    </w:p>
    <w:p w14:paraId="5BC99A14" w14:textId="77777777" w:rsidR="00A84D75" w:rsidRPr="000137B0" w:rsidRDefault="00A84D75" w:rsidP="00A84D75">
      <w:pPr>
        <w:pStyle w:val="Prrafodelista"/>
        <w:autoSpaceDE w:val="0"/>
        <w:autoSpaceDN w:val="0"/>
        <w:adjustRightInd w:val="0"/>
        <w:rPr>
          <w:color w:val="000000"/>
          <w:sz w:val="12"/>
          <w:szCs w:val="20"/>
        </w:rPr>
      </w:pPr>
      <w:r w:rsidRPr="000137B0">
        <w:rPr>
          <w:color w:val="000000"/>
          <w:sz w:val="12"/>
          <w:szCs w:val="20"/>
        </w:rPr>
        <w:t>Para tener acceso a las ponencias, visite:</w:t>
      </w:r>
    </w:p>
    <w:p w14:paraId="6028CC01" w14:textId="77777777" w:rsidR="00A84D75" w:rsidRPr="000137B0" w:rsidRDefault="00A84D75" w:rsidP="00A84D75">
      <w:pPr>
        <w:pStyle w:val="Prrafodelista"/>
        <w:autoSpaceDE w:val="0"/>
        <w:autoSpaceDN w:val="0"/>
        <w:adjustRightInd w:val="0"/>
        <w:rPr>
          <w:color w:val="0000FF"/>
          <w:sz w:val="12"/>
          <w:szCs w:val="20"/>
        </w:rPr>
      </w:pPr>
      <w:r w:rsidRPr="000137B0">
        <w:rPr>
          <w:color w:val="0000FF"/>
          <w:sz w:val="12"/>
          <w:szCs w:val="20"/>
        </w:rPr>
        <w:t>https://youtu.be/_TVzbp5uiQw</w:t>
      </w:r>
    </w:p>
    <w:p w14:paraId="18271AEE" w14:textId="77777777" w:rsidR="00A84D75" w:rsidRPr="000137B0" w:rsidRDefault="00A84D75" w:rsidP="00A84D75">
      <w:pPr>
        <w:pStyle w:val="Prrafodelista"/>
        <w:autoSpaceDE w:val="0"/>
        <w:autoSpaceDN w:val="0"/>
        <w:adjustRightInd w:val="0"/>
        <w:rPr>
          <w:color w:val="000000"/>
          <w:sz w:val="12"/>
          <w:szCs w:val="20"/>
        </w:rPr>
      </w:pPr>
      <w:r w:rsidRPr="000137B0">
        <w:rPr>
          <w:color w:val="000000"/>
          <w:sz w:val="12"/>
          <w:szCs w:val="20"/>
        </w:rPr>
        <w:t>Para tener acceso a información adicional visite:</w:t>
      </w:r>
    </w:p>
    <w:p w14:paraId="2F40EAC3" w14:textId="77777777" w:rsidR="00A84D75" w:rsidRPr="000137B0" w:rsidRDefault="00A84D75" w:rsidP="00A84D75">
      <w:pPr>
        <w:pStyle w:val="Prrafodelista"/>
        <w:autoSpaceDE w:val="0"/>
        <w:autoSpaceDN w:val="0"/>
        <w:adjustRightInd w:val="0"/>
        <w:rPr>
          <w:color w:val="0000FF"/>
          <w:sz w:val="12"/>
          <w:szCs w:val="20"/>
        </w:rPr>
      </w:pPr>
      <w:r w:rsidRPr="000137B0">
        <w:rPr>
          <w:color w:val="0000FF"/>
          <w:sz w:val="12"/>
          <w:szCs w:val="20"/>
        </w:rPr>
        <w:t>http://www.economia.unam.mx/cempe/index_htm_files/2018-05-22.pdf</w:t>
      </w:r>
    </w:p>
    <w:p w14:paraId="687B0D8F" w14:textId="77777777" w:rsidR="00A84D75" w:rsidRPr="000137B0" w:rsidRDefault="00A84D75" w:rsidP="00A84D75">
      <w:pPr>
        <w:pStyle w:val="Prrafodelista"/>
        <w:autoSpaceDE w:val="0"/>
        <w:autoSpaceDN w:val="0"/>
        <w:adjustRightInd w:val="0"/>
        <w:rPr>
          <w:color w:val="0000FF"/>
          <w:sz w:val="12"/>
          <w:szCs w:val="20"/>
        </w:rPr>
      </w:pPr>
      <w:r w:rsidRPr="000137B0">
        <w:rPr>
          <w:color w:val="0000FF"/>
          <w:sz w:val="12"/>
          <w:szCs w:val="20"/>
        </w:rPr>
        <w:lastRenderedPageBreak/>
        <w:t>http://www.economia.unam.mx/cempe/index_htm_files/LX%20reunion%20trimestral.jpeg</w:t>
      </w:r>
    </w:p>
    <w:p w14:paraId="53C4152B" w14:textId="77777777" w:rsidR="00A84D75" w:rsidRPr="000137B0" w:rsidRDefault="00A84D75" w:rsidP="00A84D75">
      <w:pPr>
        <w:pStyle w:val="Prrafodelista"/>
        <w:autoSpaceDE w:val="0"/>
        <w:autoSpaceDN w:val="0"/>
        <w:adjustRightInd w:val="0"/>
        <w:rPr>
          <w:sz w:val="16"/>
        </w:rPr>
      </w:pPr>
      <w:r w:rsidRPr="000137B0">
        <w:rPr>
          <w:color w:val="000000"/>
          <w:sz w:val="16"/>
        </w:rPr>
        <w:t xml:space="preserve">F1 P-07-02 Rev.00  </w:t>
      </w:r>
      <w:r w:rsidRPr="000137B0">
        <w:rPr>
          <w:sz w:val="16"/>
        </w:rPr>
        <w:t>Perspectivas económicas (OCDE)</w:t>
      </w:r>
    </w:p>
    <w:p w14:paraId="246CF3E1" w14:textId="77777777" w:rsidR="00A84D75" w:rsidRPr="00A84D75" w:rsidRDefault="00A84D75" w:rsidP="00A84D75">
      <w:pPr>
        <w:pStyle w:val="Prrafodelista"/>
        <w:spacing w:line="360" w:lineRule="auto"/>
        <w:ind w:left="0"/>
        <w:jc w:val="both"/>
        <w:rPr>
          <w:rFonts w:ascii="Arial" w:hAnsi="Arial" w:cs="Arial"/>
          <w:sz w:val="20"/>
          <w:szCs w:val="20"/>
          <w:u w:val="single"/>
        </w:rPr>
      </w:pPr>
      <w:r w:rsidRPr="00A84D75">
        <w:rPr>
          <w:rFonts w:ascii="Arial" w:hAnsi="Arial" w:cs="Arial"/>
          <w:sz w:val="20"/>
          <w:szCs w:val="20"/>
          <w:u w:val="single"/>
        </w:rPr>
        <w:t>El 30 de mayo de 2018, de conformidad con el informe más reciente de la Organización para la Cooperación y el Desarrollo Económicos (OCDE), Perspectivas económicas, (</w:t>
      </w:r>
      <w:proofErr w:type="spellStart"/>
      <w:r w:rsidRPr="00A84D75">
        <w:rPr>
          <w:rFonts w:ascii="Arial" w:hAnsi="Arial" w:cs="Arial"/>
          <w:sz w:val="20"/>
          <w:szCs w:val="20"/>
          <w:u w:val="single"/>
        </w:rPr>
        <w:t>Economic</w:t>
      </w:r>
      <w:proofErr w:type="spellEnd"/>
      <w:r w:rsidRPr="00A84D75">
        <w:rPr>
          <w:rFonts w:ascii="Arial" w:hAnsi="Arial" w:cs="Arial"/>
          <w:sz w:val="20"/>
          <w:szCs w:val="20"/>
          <w:u w:val="single"/>
        </w:rPr>
        <w:t xml:space="preserve"> Outlook), la economía mundial muestra un crecimiento más fuerte, impulsado por un repunte en el comercio, una mayor inversión y una boyante creación de empleos, todo ello apoyado por una alta flexibilidad en las políticas monetaria y fiscal.</w:t>
      </w:r>
    </w:p>
    <w:p w14:paraId="02D4CFBD" w14:textId="77777777" w:rsidR="00A84D75" w:rsidRPr="00A84D75" w:rsidRDefault="00A84D75" w:rsidP="00A84D75">
      <w:pPr>
        <w:pStyle w:val="Prrafodelista"/>
        <w:spacing w:line="360" w:lineRule="auto"/>
        <w:jc w:val="both"/>
        <w:rPr>
          <w:rFonts w:ascii="Arial" w:hAnsi="Arial" w:cs="Arial"/>
          <w:sz w:val="20"/>
          <w:szCs w:val="20"/>
          <w:u w:val="single"/>
        </w:rPr>
      </w:pPr>
    </w:p>
    <w:p w14:paraId="393246B3" w14:textId="77777777" w:rsidR="00A84D75" w:rsidRPr="00A84D75" w:rsidRDefault="00A84D75" w:rsidP="00A84D75">
      <w:pPr>
        <w:spacing w:line="360" w:lineRule="auto"/>
        <w:jc w:val="both"/>
        <w:rPr>
          <w:rFonts w:ascii="Arial" w:hAnsi="Arial" w:cs="Arial"/>
          <w:sz w:val="20"/>
          <w:szCs w:val="20"/>
          <w:u w:val="single"/>
        </w:rPr>
      </w:pPr>
      <w:r w:rsidRPr="00A84D75">
        <w:rPr>
          <w:rFonts w:ascii="Arial" w:hAnsi="Arial" w:cs="Arial"/>
          <w:sz w:val="20"/>
          <w:szCs w:val="20"/>
          <w:u w:val="single"/>
        </w:rPr>
        <w:t>Se espera que durante el período 2018-2019 el ritmo de la expansión mundial rondará el 4%, cifra cercana al promedio a largo plazo. Sin embargo, en las Perspectivas se destaca que se avecinan riesgos importantes causados por tensiones comerciales, vulnerabilidades del mercado financiero y alzas en los precios del petróleo; asimismo, que queda mucho por hacer para alcanzar una fuerte y resiliente mejora a mediano plazo en el nivel de vida.</w:t>
      </w:r>
    </w:p>
    <w:p w14:paraId="58CF0DFB" w14:textId="77777777" w:rsidR="00A84D75" w:rsidRPr="00A84D75" w:rsidRDefault="00A84D75" w:rsidP="00A84D75">
      <w:pPr>
        <w:pStyle w:val="Prrafodelista"/>
        <w:spacing w:line="360" w:lineRule="auto"/>
        <w:jc w:val="both"/>
        <w:rPr>
          <w:rFonts w:ascii="Arial" w:hAnsi="Arial" w:cs="Arial"/>
          <w:sz w:val="20"/>
          <w:szCs w:val="20"/>
          <w:u w:val="single"/>
        </w:rPr>
      </w:pPr>
    </w:p>
    <w:p w14:paraId="1A583592" w14:textId="77777777" w:rsidR="00A84D75" w:rsidRPr="00A84D75" w:rsidRDefault="00A84D75" w:rsidP="00A84D75">
      <w:pPr>
        <w:spacing w:line="360" w:lineRule="auto"/>
        <w:jc w:val="both"/>
        <w:rPr>
          <w:rFonts w:ascii="Arial" w:hAnsi="Arial" w:cs="Arial"/>
          <w:sz w:val="20"/>
          <w:szCs w:val="20"/>
          <w:u w:val="single"/>
        </w:rPr>
      </w:pPr>
      <w:r w:rsidRPr="00A84D75">
        <w:rPr>
          <w:rFonts w:ascii="Arial" w:hAnsi="Arial" w:cs="Arial"/>
          <w:sz w:val="20"/>
          <w:szCs w:val="20"/>
          <w:u w:val="single"/>
        </w:rPr>
        <w:t>Las bajas, aunque gradualmente crecientes, tasas de interés, aunadas a la flexibilización fiscal implementada en muchos países, seguirá apuntalando la expansión, la cual generará moderados aumentos en los salarios y la inflación. Se espera que el desempleo en los países de la OCDE disminuya a sus niveles más bajos desde 1980, pero es posible tomar más medidas para atraer a más personas a la fuerza laboral.</w:t>
      </w:r>
    </w:p>
    <w:p w14:paraId="450BDE48" w14:textId="77777777" w:rsidR="00A84D75" w:rsidRPr="00A84D75" w:rsidRDefault="00A84D75" w:rsidP="00A84D75">
      <w:pPr>
        <w:pStyle w:val="Prrafodelista"/>
        <w:spacing w:line="360" w:lineRule="auto"/>
        <w:jc w:val="both"/>
        <w:rPr>
          <w:rFonts w:ascii="Arial" w:hAnsi="Arial" w:cs="Arial"/>
          <w:sz w:val="20"/>
          <w:szCs w:val="20"/>
          <w:u w:val="single"/>
        </w:rPr>
      </w:pPr>
    </w:p>
    <w:p w14:paraId="735B4B7E" w14:textId="77777777" w:rsidR="00A84D75" w:rsidRPr="00A84D75" w:rsidRDefault="00A84D75" w:rsidP="00A84D75">
      <w:pPr>
        <w:spacing w:line="360" w:lineRule="auto"/>
        <w:jc w:val="both"/>
        <w:rPr>
          <w:rFonts w:ascii="Arial" w:hAnsi="Arial" w:cs="Arial"/>
          <w:sz w:val="20"/>
          <w:szCs w:val="20"/>
          <w:u w:val="single"/>
        </w:rPr>
      </w:pPr>
      <w:r w:rsidRPr="00A84D75">
        <w:rPr>
          <w:rFonts w:ascii="Arial" w:hAnsi="Arial" w:cs="Arial"/>
          <w:sz w:val="20"/>
          <w:szCs w:val="20"/>
          <w:u w:val="single"/>
        </w:rPr>
        <w:t>“Se espera que la expansión económica continuará durante los próximos dos años y las perspectivas de crecimiento a corto plazo son más favorables que las observadas en muchos años anteriores”, aseveró el Secretario General de la OCDE. “No obstante, la recuperación actual aún es respaldada por políticas muy flexibles en el ámbito monetario y, cada vez más, en el ámbito fiscal. Esto sugiere que aún no se ha logrado un crecimiento fuerte y autosuficiente.”</w:t>
      </w:r>
    </w:p>
    <w:p w14:paraId="106C0ABA" w14:textId="77777777" w:rsidR="00A84D75" w:rsidRPr="00A84D75" w:rsidRDefault="00A84D75" w:rsidP="00A84D75">
      <w:pPr>
        <w:pStyle w:val="Prrafodelista"/>
        <w:spacing w:line="360" w:lineRule="auto"/>
        <w:jc w:val="both"/>
        <w:rPr>
          <w:rFonts w:ascii="Arial" w:hAnsi="Arial" w:cs="Arial"/>
          <w:sz w:val="20"/>
          <w:szCs w:val="20"/>
          <w:u w:val="single"/>
        </w:rPr>
      </w:pPr>
    </w:p>
    <w:p w14:paraId="1BE42F0E" w14:textId="77777777" w:rsidR="00A84D75" w:rsidRPr="00A84D75" w:rsidRDefault="00A84D75" w:rsidP="00A84D75">
      <w:pPr>
        <w:spacing w:line="360" w:lineRule="auto"/>
        <w:jc w:val="both"/>
        <w:rPr>
          <w:rFonts w:ascii="Arial" w:hAnsi="Arial" w:cs="Arial"/>
          <w:sz w:val="20"/>
          <w:szCs w:val="20"/>
          <w:u w:val="single"/>
        </w:rPr>
      </w:pPr>
      <w:r w:rsidRPr="00A84D75">
        <w:rPr>
          <w:rFonts w:ascii="Arial" w:hAnsi="Arial" w:cs="Arial"/>
          <w:sz w:val="20"/>
          <w:szCs w:val="20"/>
          <w:u w:val="single"/>
        </w:rPr>
        <w:t xml:space="preserve"> “Es necesario que los responsables de la formulación de políticas públicas se enfoquen más en políticas estructurales para promover las competencias y mejorar la productividad, con el fin de lograr un crecimiento, fuerte, sostenible e incluyente”, agregó. En las Perspectivas se presentan diversos riesgos para la expansión actual. Los precios del petróleo aumentaron en gran medida el año pasado y, de sostenerse, podrían aumentar la inflación y a la vez atenuar el incremento real del ingreso familiar. La amenaza de restricciones comerciales ha comenzado a afectar desfavorablemente la confianza y, de ponerse en práctica estas medidas, ejercerían una influencia negativa en la inversión y el empleo.</w:t>
      </w:r>
    </w:p>
    <w:p w14:paraId="1BEDE961" w14:textId="77777777" w:rsidR="00A84D75" w:rsidRPr="00A84D75" w:rsidRDefault="00A84D75" w:rsidP="00A84D75">
      <w:pPr>
        <w:pStyle w:val="Prrafodelista"/>
        <w:spacing w:line="360" w:lineRule="auto"/>
        <w:jc w:val="both"/>
        <w:rPr>
          <w:rFonts w:ascii="Arial" w:hAnsi="Arial" w:cs="Arial"/>
          <w:sz w:val="20"/>
          <w:szCs w:val="20"/>
          <w:u w:val="single"/>
        </w:rPr>
      </w:pPr>
    </w:p>
    <w:p w14:paraId="111EF80C" w14:textId="77777777" w:rsidR="00A84D75" w:rsidRPr="00A84D75" w:rsidRDefault="00A84D75" w:rsidP="00A84D75">
      <w:pPr>
        <w:spacing w:line="360" w:lineRule="auto"/>
        <w:jc w:val="both"/>
        <w:rPr>
          <w:rFonts w:ascii="Arial" w:hAnsi="Arial" w:cs="Arial"/>
          <w:sz w:val="20"/>
          <w:szCs w:val="20"/>
          <w:u w:val="single"/>
        </w:rPr>
      </w:pPr>
      <w:r w:rsidRPr="00A84D75">
        <w:rPr>
          <w:rFonts w:ascii="Arial" w:hAnsi="Arial" w:cs="Arial"/>
          <w:sz w:val="20"/>
          <w:szCs w:val="20"/>
          <w:u w:val="single"/>
        </w:rPr>
        <w:lastRenderedPageBreak/>
        <w:t>También prevalece el riesgo de que la normalización de las tasas de interés en algunas economías, en particular en Estados Unidos de Norteamérica, pudiera exponer vulnerabilidades y tensiones financieras creadas por una alta toma de riesgos en los mercados financieros y un elevado endeudamiento, especialmente en economías de mercados emergentes con altos niveles de deuda en divisas. La flexibilización fiscal procíclica acentúa estos riesgos.</w:t>
      </w:r>
    </w:p>
    <w:p w14:paraId="6C1E949C" w14:textId="77777777" w:rsidR="00A84D75" w:rsidRPr="00A84D75" w:rsidRDefault="00A84D75" w:rsidP="00A84D75">
      <w:pPr>
        <w:pStyle w:val="Prrafodelista"/>
        <w:spacing w:line="360" w:lineRule="auto"/>
        <w:jc w:val="both"/>
        <w:rPr>
          <w:rFonts w:ascii="Arial" w:hAnsi="Arial" w:cs="Arial"/>
          <w:sz w:val="20"/>
          <w:szCs w:val="20"/>
          <w:u w:val="single"/>
        </w:rPr>
      </w:pPr>
    </w:p>
    <w:p w14:paraId="6C3823F9" w14:textId="77777777" w:rsidR="00A84D75" w:rsidRPr="00A84D75" w:rsidRDefault="00A84D75" w:rsidP="00A84D75">
      <w:pPr>
        <w:spacing w:line="360" w:lineRule="auto"/>
        <w:jc w:val="both"/>
        <w:rPr>
          <w:rFonts w:ascii="Arial" w:hAnsi="Arial" w:cs="Arial"/>
          <w:sz w:val="20"/>
          <w:szCs w:val="20"/>
          <w:u w:val="single"/>
        </w:rPr>
      </w:pPr>
      <w:r w:rsidRPr="00A84D75">
        <w:rPr>
          <w:rFonts w:ascii="Arial" w:hAnsi="Arial" w:cs="Arial"/>
          <w:sz w:val="20"/>
          <w:szCs w:val="20"/>
          <w:u w:val="single"/>
        </w:rPr>
        <w:t xml:space="preserve">En el informe </w:t>
      </w:r>
      <w:proofErr w:type="spellStart"/>
      <w:r w:rsidRPr="00A84D75">
        <w:rPr>
          <w:rFonts w:ascii="Arial" w:hAnsi="Arial" w:cs="Arial"/>
          <w:sz w:val="20"/>
          <w:szCs w:val="20"/>
          <w:u w:val="single"/>
        </w:rPr>
        <w:t>Economic</w:t>
      </w:r>
      <w:proofErr w:type="spellEnd"/>
      <w:r w:rsidRPr="00A84D75">
        <w:rPr>
          <w:rFonts w:ascii="Arial" w:hAnsi="Arial" w:cs="Arial"/>
          <w:sz w:val="20"/>
          <w:szCs w:val="20"/>
          <w:u w:val="single"/>
        </w:rPr>
        <w:t xml:space="preserve"> Outlook se establece la necesidad de intensificar las reformas, en el contexto de condiciones favorables a corto plazo, así como de asegurar un crecimiento más sólido y más incluyente. Se insta a los países a impulsar la inversión en educación y competencias, como parte de las mejoras en el uso de las políticas fiscales y de gastos para elevar el nivel de vida a lo largo de la distribución de ingresos. </w:t>
      </w:r>
    </w:p>
    <w:p w14:paraId="40C8F8AD" w14:textId="77777777" w:rsidR="00A84D75" w:rsidRPr="00A84D75" w:rsidRDefault="00A84D75" w:rsidP="00A84D75">
      <w:pPr>
        <w:pStyle w:val="Prrafodelista"/>
        <w:spacing w:line="360" w:lineRule="auto"/>
        <w:jc w:val="both"/>
        <w:rPr>
          <w:rFonts w:ascii="Arial" w:hAnsi="Arial" w:cs="Arial"/>
          <w:sz w:val="20"/>
          <w:szCs w:val="20"/>
          <w:u w:val="single"/>
        </w:rPr>
      </w:pPr>
    </w:p>
    <w:p w14:paraId="78F8CA01" w14:textId="77777777" w:rsidR="00A84D75" w:rsidRPr="00A84D75" w:rsidRDefault="00A84D75" w:rsidP="00A84D75">
      <w:pPr>
        <w:spacing w:line="360" w:lineRule="auto"/>
        <w:jc w:val="both"/>
        <w:rPr>
          <w:rFonts w:ascii="Arial" w:hAnsi="Arial" w:cs="Arial"/>
          <w:sz w:val="20"/>
          <w:szCs w:val="20"/>
          <w:u w:val="single"/>
        </w:rPr>
      </w:pPr>
      <w:r w:rsidRPr="00A84D75">
        <w:rPr>
          <w:rFonts w:ascii="Arial" w:hAnsi="Arial" w:cs="Arial"/>
          <w:sz w:val="20"/>
          <w:szCs w:val="20"/>
          <w:u w:val="single"/>
        </w:rPr>
        <w:t xml:space="preserve">Se recomienda poner en marcha políticas para impulsar la creación de empleos y el dinamismo empresarial en la economía, lo que incluye mejorar la infraestructura digital y física, incrementar la colaboración en </w:t>
      </w:r>
      <w:proofErr w:type="spellStart"/>
      <w:r w:rsidRPr="00A84D75">
        <w:rPr>
          <w:rFonts w:ascii="Arial" w:hAnsi="Arial" w:cs="Arial"/>
          <w:sz w:val="20"/>
          <w:szCs w:val="20"/>
          <w:u w:val="single"/>
        </w:rPr>
        <w:t>inovación</w:t>
      </w:r>
      <w:proofErr w:type="spellEnd"/>
      <w:r w:rsidRPr="00A84D75">
        <w:rPr>
          <w:rFonts w:ascii="Arial" w:hAnsi="Arial" w:cs="Arial"/>
          <w:sz w:val="20"/>
          <w:szCs w:val="20"/>
          <w:u w:val="single"/>
        </w:rPr>
        <w:t xml:space="preserve"> y desarrollo (I+D) entre universidades e industria, reducir los obstáculos para ingresar en los sectores de servicios profesionales y disminuir los trámites burocráticos.</w:t>
      </w:r>
    </w:p>
    <w:p w14:paraId="7B6A7B4D" w14:textId="77777777" w:rsidR="00A84D75" w:rsidRPr="00A84D75" w:rsidRDefault="00A84D75" w:rsidP="00A84D75">
      <w:pPr>
        <w:spacing w:line="360" w:lineRule="auto"/>
        <w:jc w:val="both"/>
        <w:rPr>
          <w:rFonts w:ascii="Arial" w:hAnsi="Arial" w:cs="Arial"/>
          <w:sz w:val="20"/>
          <w:szCs w:val="20"/>
          <w:u w:val="single"/>
        </w:rPr>
      </w:pPr>
    </w:p>
    <w:p w14:paraId="303D9F1A" w14:textId="470D6E0E" w:rsidR="00A84D75" w:rsidRPr="00A84D75" w:rsidRDefault="004D7EAD" w:rsidP="00A84D75">
      <w:pPr>
        <w:spacing w:line="360" w:lineRule="auto"/>
        <w:jc w:val="both"/>
        <w:rPr>
          <w:rFonts w:ascii="Arial" w:hAnsi="Arial" w:cs="Arial"/>
          <w:sz w:val="20"/>
          <w:szCs w:val="20"/>
        </w:rPr>
      </w:pPr>
      <w:hyperlink r:id="rId13" w:history="1">
        <w:r w:rsidR="00A84D75" w:rsidRPr="00A84D75">
          <w:rPr>
            <w:rFonts w:ascii="Arial" w:hAnsi="Arial" w:cs="Arial"/>
            <w:sz w:val="20"/>
            <w:szCs w:val="20"/>
          </w:rPr>
          <w:t>http://finanzaspublicas.hacienda.gob.mx/work/models/Finanzas_Publicas/docs/paquete_economico/precgpe/precgpe_2019.PDF</w:t>
        </w:r>
      </w:hyperlink>
    </w:p>
    <w:p w14:paraId="5DD25CE4" w14:textId="77777777" w:rsidR="00A84D75" w:rsidRPr="00A84D75" w:rsidRDefault="004D7EAD" w:rsidP="00A84D75">
      <w:pPr>
        <w:rPr>
          <w:rFonts w:ascii="Arial" w:hAnsi="Arial" w:cs="Arial"/>
          <w:sz w:val="20"/>
          <w:szCs w:val="20"/>
        </w:rPr>
      </w:pPr>
      <w:hyperlink r:id="rId14" w:history="1">
        <w:r w:rsidR="00A84D75" w:rsidRPr="00A84D75">
          <w:rPr>
            <w:rFonts w:ascii="Arial" w:hAnsi="Arial" w:cs="Arial"/>
            <w:sz w:val="20"/>
            <w:szCs w:val="20"/>
          </w:rPr>
          <w:t>https://www.gob.mx/cms/uploads/attachment/file/339982/V-PerspectivasEconomicas-junio2018.pdf</w:t>
        </w:r>
      </w:hyperlink>
    </w:p>
    <w:p w14:paraId="6A426E31" w14:textId="77777777" w:rsidR="00A84D75" w:rsidRPr="00A84D75" w:rsidRDefault="00A84D75" w:rsidP="00A84D75">
      <w:pPr>
        <w:ind w:left="720"/>
        <w:rPr>
          <w:rFonts w:ascii="Arial" w:hAnsi="Arial" w:cs="Arial"/>
          <w:sz w:val="20"/>
          <w:szCs w:val="20"/>
          <w:u w:val="single"/>
        </w:rPr>
      </w:pPr>
    </w:p>
    <w:p w14:paraId="118A4610" w14:textId="77777777" w:rsidR="00A84D75" w:rsidRPr="00A84D75" w:rsidRDefault="00A84D75" w:rsidP="00A84D75">
      <w:pPr>
        <w:spacing w:line="360" w:lineRule="auto"/>
        <w:jc w:val="both"/>
        <w:rPr>
          <w:rFonts w:ascii="Arial" w:hAnsi="Arial" w:cs="Arial"/>
          <w:sz w:val="20"/>
          <w:szCs w:val="20"/>
          <w:u w:val="single"/>
        </w:rPr>
      </w:pPr>
      <w:r w:rsidRPr="00A84D75">
        <w:rPr>
          <w:rFonts w:ascii="Arial" w:hAnsi="Arial" w:cs="Arial"/>
          <w:sz w:val="20"/>
          <w:szCs w:val="20"/>
          <w:u w:val="single"/>
        </w:rPr>
        <w:t>Más sin embargo el Organismo Operador en el momento de la elaboración y proyección del presupuesto 2019 está ubicada en números negros y sin pasivos que no puedan solventarse de manera inmediata, por lo que actualmente no se cuenta con Deuda.</w:t>
      </w:r>
    </w:p>
    <w:p w14:paraId="00AE9BBF" w14:textId="77777777" w:rsidR="00A84D75" w:rsidRPr="00A84D75" w:rsidRDefault="00A84D75" w:rsidP="00A84D75">
      <w:pPr>
        <w:spacing w:line="360" w:lineRule="auto"/>
        <w:ind w:left="720"/>
        <w:jc w:val="both"/>
        <w:rPr>
          <w:rFonts w:ascii="Arial" w:hAnsi="Arial" w:cs="Arial"/>
          <w:sz w:val="20"/>
          <w:szCs w:val="20"/>
          <w:u w:val="single"/>
        </w:rPr>
      </w:pPr>
    </w:p>
    <w:p w14:paraId="4599B040" w14:textId="77777777" w:rsidR="00A84D75" w:rsidRPr="00A84D75" w:rsidRDefault="00A84D75" w:rsidP="00A84D75">
      <w:pPr>
        <w:spacing w:line="360" w:lineRule="auto"/>
        <w:jc w:val="both"/>
        <w:rPr>
          <w:rFonts w:ascii="Arial" w:hAnsi="Arial" w:cs="Arial"/>
          <w:sz w:val="20"/>
          <w:szCs w:val="20"/>
          <w:u w:val="single"/>
        </w:rPr>
      </w:pPr>
      <w:r w:rsidRPr="00A84D75">
        <w:rPr>
          <w:rFonts w:ascii="Arial" w:hAnsi="Arial" w:cs="Arial"/>
          <w:sz w:val="20"/>
          <w:szCs w:val="20"/>
          <w:u w:val="single"/>
        </w:rPr>
        <w:t>Se ha manifestado durante el histórico que los Ingresos han rebasado la expectativa del propio presupuesto de ingresos lo cual se ha manifestado en la Ejecución de la Ampliación de Obras en beneficio de la ciudadanía celayense.</w:t>
      </w:r>
    </w:p>
    <w:p w14:paraId="340B5421" w14:textId="77777777" w:rsidR="00A84D75" w:rsidRPr="00A84D75" w:rsidRDefault="00A84D75" w:rsidP="00A84D75">
      <w:pPr>
        <w:spacing w:line="360" w:lineRule="auto"/>
        <w:ind w:left="720"/>
        <w:jc w:val="both"/>
        <w:rPr>
          <w:rFonts w:ascii="Arial" w:hAnsi="Arial" w:cs="Arial"/>
          <w:sz w:val="20"/>
          <w:szCs w:val="20"/>
          <w:u w:val="single"/>
        </w:rPr>
      </w:pPr>
    </w:p>
    <w:p w14:paraId="31A742DE" w14:textId="77777777" w:rsidR="00A84D75" w:rsidRPr="00A84D75" w:rsidRDefault="00A84D75" w:rsidP="00A84D75">
      <w:pPr>
        <w:autoSpaceDE w:val="0"/>
        <w:autoSpaceDN w:val="0"/>
        <w:adjustRightInd w:val="0"/>
        <w:spacing w:line="360" w:lineRule="auto"/>
        <w:jc w:val="both"/>
        <w:rPr>
          <w:rFonts w:ascii="Arial" w:hAnsi="Arial" w:cs="Arial"/>
          <w:sz w:val="20"/>
          <w:szCs w:val="20"/>
          <w:u w:val="single"/>
        </w:rPr>
      </w:pPr>
      <w:r w:rsidRPr="00A84D75">
        <w:rPr>
          <w:rFonts w:ascii="Arial" w:hAnsi="Arial" w:cs="Arial"/>
          <w:sz w:val="20"/>
          <w:szCs w:val="20"/>
          <w:u w:val="single"/>
        </w:rPr>
        <w:t xml:space="preserve">La presente Proyección de Presupuesto de Egresos establece contribuciones ajustadas a la realidad económica del País con incrementos de un 5 % en la mayoría de los rubros Gastos considerando el índice </w:t>
      </w:r>
      <w:r w:rsidRPr="00A84D75">
        <w:rPr>
          <w:rFonts w:ascii="Arial" w:hAnsi="Arial" w:cs="Arial"/>
          <w:sz w:val="20"/>
          <w:szCs w:val="20"/>
          <w:u w:val="single"/>
        </w:rPr>
        <w:lastRenderedPageBreak/>
        <w:t xml:space="preserve">inflacionario, así como en el Rubro de Servicios Personales se consideró incremento general del 4% a sueldo, algunas nivelaciones. </w:t>
      </w: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20CB565" w14:textId="77777777" w:rsidR="001F1242" w:rsidRDefault="001F1242" w:rsidP="001F1242">
      <w:pPr>
        <w:rPr>
          <w:rFonts w:ascii="Arial" w:hAnsi="Arial" w:cs="Arial"/>
          <w:sz w:val="20"/>
          <w:szCs w:val="20"/>
          <w:u w:val="single"/>
        </w:rPr>
      </w:pPr>
    </w:p>
    <w:p w14:paraId="0FDFA6BF" w14:textId="77777777" w:rsidR="001F1242" w:rsidRPr="00E61462" w:rsidRDefault="001F1242" w:rsidP="001F1242">
      <w:pPr>
        <w:rPr>
          <w:rFonts w:ascii="Arial" w:hAnsi="Arial" w:cs="Arial"/>
          <w:sz w:val="20"/>
          <w:szCs w:val="20"/>
          <w:u w:val="single"/>
        </w:rPr>
      </w:pPr>
      <w:r>
        <w:rPr>
          <w:rFonts w:ascii="Arial" w:hAnsi="Arial" w:cs="Arial"/>
          <w:sz w:val="20"/>
          <w:szCs w:val="20"/>
          <w:u w:val="single"/>
        </w:rPr>
        <w:t>06 de Enero de 1984.</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0F10239" w14:textId="77777777" w:rsidR="00436C88" w:rsidRPr="00E74967" w:rsidRDefault="00436C88" w:rsidP="00CB41C4">
      <w:pPr>
        <w:tabs>
          <w:tab w:val="left" w:leader="underscore" w:pos="9639"/>
        </w:tabs>
        <w:spacing w:after="0" w:line="240" w:lineRule="auto"/>
        <w:jc w:val="both"/>
        <w:rPr>
          <w:rFonts w:cs="Calibri"/>
        </w:rPr>
      </w:pPr>
    </w:p>
    <w:tbl>
      <w:tblPr>
        <w:tblW w:w="9944"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8"/>
        <w:gridCol w:w="1348"/>
        <w:gridCol w:w="69"/>
        <w:gridCol w:w="1279"/>
        <w:gridCol w:w="139"/>
        <w:gridCol w:w="1209"/>
        <w:gridCol w:w="208"/>
        <w:gridCol w:w="1418"/>
        <w:gridCol w:w="1458"/>
        <w:gridCol w:w="1468"/>
      </w:tblGrid>
      <w:tr w:rsidR="00436C88" w:rsidRPr="00E056CB" w14:paraId="2748BE86" w14:textId="77777777" w:rsidTr="00436C88">
        <w:trPr>
          <w:trHeight w:val="64"/>
        </w:trPr>
        <w:tc>
          <w:tcPr>
            <w:tcW w:w="1348" w:type="dxa"/>
          </w:tcPr>
          <w:p w14:paraId="2085C8DE" w14:textId="77777777" w:rsidR="00436C88" w:rsidRPr="00E056CB" w:rsidRDefault="00436C88" w:rsidP="00436C88">
            <w:pPr>
              <w:widowControl w:val="0"/>
              <w:autoSpaceDE w:val="0"/>
              <w:autoSpaceDN w:val="0"/>
              <w:adjustRightInd w:val="0"/>
              <w:contextualSpacing/>
              <w:jc w:val="center"/>
              <w:rPr>
                <w:rFonts w:ascii="Arial" w:hAnsi="Arial" w:cs="Arial"/>
                <w:b/>
                <w:sz w:val="16"/>
                <w:szCs w:val="10"/>
              </w:rPr>
            </w:pPr>
            <w:bookmarkStart w:id="4" w:name="_Toc508279624"/>
            <w:r w:rsidRPr="00E056CB">
              <w:rPr>
                <w:rFonts w:ascii="Arial" w:hAnsi="Arial" w:cs="Arial"/>
                <w:b/>
                <w:sz w:val="16"/>
                <w:szCs w:val="10"/>
              </w:rPr>
              <w:t>1988-1991</w:t>
            </w:r>
          </w:p>
        </w:tc>
        <w:tc>
          <w:tcPr>
            <w:tcW w:w="1417" w:type="dxa"/>
            <w:gridSpan w:val="2"/>
          </w:tcPr>
          <w:p w14:paraId="4777A96A"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1992-2002</w:t>
            </w:r>
          </w:p>
        </w:tc>
        <w:tc>
          <w:tcPr>
            <w:tcW w:w="1418" w:type="dxa"/>
            <w:gridSpan w:val="2"/>
          </w:tcPr>
          <w:p w14:paraId="54AB2D42"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2003</w:t>
            </w:r>
          </w:p>
        </w:tc>
        <w:tc>
          <w:tcPr>
            <w:tcW w:w="1417" w:type="dxa"/>
            <w:gridSpan w:val="2"/>
          </w:tcPr>
          <w:p w14:paraId="45F43071"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2004</w:t>
            </w:r>
          </w:p>
        </w:tc>
        <w:tc>
          <w:tcPr>
            <w:tcW w:w="1418" w:type="dxa"/>
          </w:tcPr>
          <w:p w14:paraId="43F3355E"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2005</w:t>
            </w:r>
          </w:p>
        </w:tc>
        <w:tc>
          <w:tcPr>
            <w:tcW w:w="1458" w:type="dxa"/>
          </w:tcPr>
          <w:p w14:paraId="64533A94"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2006</w:t>
            </w:r>
          </w:p>
        </w:tc>
        <w:tc>
          <w:tcPr>
            <w:tcW w:w="1468" w:type="dxa"/>
          </w:tcPr>
          <w:p w14:paraId="67FB1B07" w14:textId="77777777" w:rsidR="00436C88" w:rsidRPr="00E056CB" w:rsidRDefault="00436C88" w:rsidP="00436C88">
            <w:pPr>
              <w:widowControl w:val="0"/>
              <w:autoSpaceDE w:val="0"/>
              <w:autoSpaceDN w:val="0"/>
              <w:adjustRightInd w:val="0"/>
              <w:contextualSpacing/>
              <w:jc w:val="center"/>
              <w:rPr>
                <w:rFonts w:ascii="Arial" w:hAnsi="Arial" w:cs="Arial"/>
                <w:b/>
                <w:sz w:val="16"/>
                <w:szCs w:val="10"/>
              </w:rPr>
            </w:pPr>
            <w:r w:rsidRPr="00E056CB">
              <w:rPr>
                <w:rFonts w:ascii="Arial" w:hAnsi="Arial" w:cs="Arial"/>
                <w:b/>
                <w:sz w:val="16"/>
                <w:szCs w:val="10"/>
              </w:rPr>
              <w:t>2007</w:t>
            </w:r>
          </w:p>
        </w:tc>
      </w:tr>
      <w:tr w:rsidR="00436C88" w:rsidRPr="00E056CB" w14:paraId="254CB1EF" w14:textId="77777777" w:rsidTr="00436C88">
        <w:trPr>
          <w:trHeight w:val="259"/>
        </w:trPr>
        <w:tc>
          <w:tcPr>
            <w:tcW w:w="1348" w:type="dxa"/>
          </w:tcPr>
          <w:p w14:paraId="2CC1F27F"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2780C77B"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 VOCAL EJECUTIVO</w:t>
            </w:r>
          </w:p>
          <w:p w14:paraId="12718F4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 DIRECTORES</w:t>
            </w:r>
          </w:p>
          <w:p w14:paraId="299174BA"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8 DEPARTAMENTOS </w:t>
            </w:r>
          </w:p>
        </w:tc>
        <w:tc>
          <w:tcPr>
            <w:tcW w:w="1417" w:type="dxa"/>
            <w:gridSpan w:val="2"/>
          </w:tcPr>
          <w:p w14:paraId="4C37BB5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1119F1AA"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4 DIRECTORES </w:t>
            </w:r>
          </w:p>
          <w:p w14:paraId="2B58B51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23 DEPARTAMENTOS </w:t>
            </w:r>
          </w:p>
          <w:p w14:paraId="05270A65" w14:textId="77777777" w:rsidR="00436C88" w:rsidRPr="00E056CB" w:rsidRDefault="00436C88" w:rsidP="00436C88">
            <w:pPr>
              <w:widowControl w:val="0"/>
              <w:autoSpaceDE w:val="0"/>
              <w:autoSpaceDN w:val="0"/>
              <w:adjustRightInd w:val="0"/>
              <w:ind w:left="720"/>
              <w:contextualSpacing/>
              <w:rPr>
                <w:rFonts w:ascii="Arial" w:hAnsi="Arial" w:cs="Arial"/>
                <w:sz w:val="10"/>
                <w:szCs w:val="10"/>
              </w:rPr>
            </w:pPr>
          </w:p>
        </w:tc>
        <w:tc>
          <w:tcPr>
            <w:tcW w:w="1418" w:type="dxa"/>
            <w:gridSpan w:val="2"/>
          </w:tcPr>
          <w:p w14:paraId="45C68787"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6C4A20C7"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4 DIRECTORES</w:t>
            </w:r>
          </w:p>
          <w:p w14:paraId="72D87138"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8 GERENCIAS</w:t>
            </w:r>
          </w:p>
          <w:p w14:paraId="747C6627"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30 DEPARTAMENTOS </w:t>
            </w:r>
          </w:p>
        </w:tc>
        <w:tc>
          <w:tcPr>
            <w:tcW w:w="1417" w:type="dxa"/>
            <w:gridSpan w:val="2"/>
          </w:tcPr>
          <w:p w14:paraId="6367ED43"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2506105D"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74AE7E46"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652F3000"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30 DEPARTAMENTOS</w:t>
            </w:r>
          </w:p>
        </w:tc>
        <w:tc>
          <w:tcPr>
            <w:tcW w:w="1418" w:type="dxa"/>
          </w:tcPr>
          <w:p w14:paraId="5E51517B"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70AFC195"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21A27288"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7010998E"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31 DEPARTAMENTOS</w:t>
            </w:r>
          </w:p>
        </w:tc>
        <w:tc>
          <w:tcPr>
            <w:tcW w:w="1458" w:type="dxa"/>
          </w:tcPr>
          <w:p w14:paraId="47DFC7BC"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6EFE478B"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2C0B8DF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52512680"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32 DEPARTAMENTOS</w:t>
            </w:r>
          </w:p>
        </w:tc>
        <w:tc>
          <w:tcPr>
            <w:tcW w:w="1468" w:type="dxa"/>
          </w:tcPr>
          <w:p w14:paraId="0E3ECF13"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1A9AC5D3"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3EA3F2CA"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32A5FFA2"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30 DEPARTAMENTOS</w:t>
            </w:r>
          </w:p>
        </w:tc>
      </w:tr>
      <w:tr w:rsidR="00436C88" w:rsidRPr="00E056CB" w14:paraId="11F770BC" w14:textId="77777777" w:rsidTr="00436C88">
        <w:trPr>
          <w:trHeight w:val="59"/>
        </w:trPr>
        <w:tc>
          <w:tcPr>
            <w:tcW w:w="1348" w:type="dxa"/>
          </w:tcPr>
          <w:p w14:paraId="0A52EDA0" w14:textId="77777777" w:rsidR="00436C88" w:rsidRPr="00E056CB" w:rsidRDefault="00436C88" w:rsidP="00436C88">
            <w:pPr>
              <w:widowControl w:val="0"/>
              <w:autoSpaceDE w:val="0"/>
              <w:autoSpaceDN w:val="0"/>
              <w:adjustRightInd w:val="0"/>
              <w:ind w:left="720"/>
              <w:contextualSpacing/>
              <w:rPr>
                <w:rFonts w:ascii="Arial" w:hAnsi="Arial" w:cs="Arial"/>
                <w:b/>
                <w:sz w:val="16"/>
                <w:szCs w:val="10"/>
              </w:rPr>
            </w:pPr>
            <w:r>
              <w:rPr>
                <w:rFonts w:ascii="Arial" w:hAnsi="Arial" w:cs="Arial"/>
                <w:b/>
                <w:sz w:val="16"/>
                <w:szCs w:val="10"/>
              </w:rPr>
              <w:t>2008</w:t>
            </w:r>
          </w:p>
        </w:tc>
        <w:tc>
          <w:tcPr>
            <w:tcW w:w="1417" w:type="dxa"/>
            <w:gridSpan w:val="2"/>
          </w:tcPr>
          <w:p w14:paraId="2A72D7C3"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2009</w:t>
            </w:r>
          </w:p>
        </w:tc>
        <w:tc>
          <w:tcPr>
            <w:tcW w:w="1418" w:type="dxa"/>
            <w:gridSpan w:val="2"/>
          </w:tcPr>
          <w:p w14:paraId="12CC1601"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2010</w:t>
            </w:r>
          </w:p>
        </w:tc>
        <w:tc>
          <w:tcPr>
            <w:tcW w:w="1417" w:type="dxa"/>
            <w:gridSpan w:val="2"/>
          </w:tcPr>
          <w:p w14:paraId="3A74E6C0"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2011</w:t>
            </w:r>
          </w:p>
        </w:tc>
        <w:tc>
          <w:tcPr>
            <w:tcW w:w="1418" w:type="dxa"/>
          </w:tcPr>
          <w:p w14:paraId="31C52B0B"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2012</w:t>
            </w:r>
          </w:p>
        </w:tc>
        <w:tc>
          <w:tcPr>
            <w:tcW w:w="1458" w:type="dxa"/>
          </w:tcPr>
          <w:p w14:paraId="74110FEC"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w:t>
            </w:r>
            <w:r>
              <w:rPr>
                <w:rFonts w:ascii="Arial" w:hAnsi="Arial" w:cs="Arial"/>
                <w:b/>
                <w:sz w:val="16"/>
                <w:szCs w:val="10"/>
              </w:rPr>
              <w:t>3</w:t>
            </w:r>
          </w:p>
        </w:tc>
        <w:tc>
          <w:tcPr>
            <w:tcW w:w="1468" w:type="dxa"/>
          </w:tcPr>
          <w:p w14:paraId="4D9CC326"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w:t>
            </w:r>
            <w:r>
              <w:rPr>
                <w:rFonts w:ascii="Arial" w:hAnsi="Arial" w:cs="Arial"/>
                <w:b/>
                <w:sz w:val="16"/>
                <w:szCs w:val="10"/>
              </w:rPr>
              <w:t>4 – 2015</w:t>
            </w:r>
          </w:p>
        </w:tc>
      </w:tr>
      <w:tr w:rsidR="00436C88" w:rsidRPr="00E056CB" w14:paraId="1375B6D6" w14:textId="77777777" w:rsidTr="00436C88">
        <w:trPr>
          <w:trHeight w:val="103"/>
        </w:trPr>
        <w:tc>
          <w:tcPr>
            <w:tcW w:w="1348" w:type="dxa"/>
          </w:tcPr>
          <w:p w14:paraId="5CAC8D4C"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62B594DE"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6B1CF6F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513A63C6"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31 DEPARTAMENTOS</w:t>
            </w:r>
          </w:p>
        </w:tc>
        <w:tc>
          <w:tcPr>
            <w:tcW w:w="1417" w:type="dxa"/>
            <w:gridSpan w:val="2"/>
          </w:tcPr>
          <w:p w14:paraId="4812963F"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0C1AB745"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77F5975F"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23BD1864"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29 DEPARTAMENTOS</w:t>
            </w:r>
          </w:p>
        </w:tc>
        <w:tc>
          <w:tcPr>
            <w:tcW w:w="1418" w:type="dxa"/>
            <w:gridSpan w:val="2"/>
          </w:tcPr>
          <w:p w14:paraId="285D77FD"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24D0FF93"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00E97C0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1846DE6D"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29 DEPARTAMENTOS</w:t>
            </w:r>
          </w:p>
        </w:tc>
        <w:tc>
          <w:tcPr>
            <w:tcW w:w="1417" w:type="dxa"/>
            <w:gridSpan w:val="2"/>
          </w:tcPr>
          <w:p w14:paraId="71CFA794"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465CD602"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728AE8E9"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10 GERENCIAS</w:t>
            </w:r>
          </w:p>
          <w:p w14:paraId="561618D8"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25 DEPARTAMENTOS</w:t>
            </w:r>
          </w:p>
        </w:tc>
        <w:tc>
          <w:tcPr>
            <w:tcW w:w="1418" w:type="dxa"/>
          </w:tcPr>
          <w:p w14:paraId="28C40D62"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04422632"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78C00B7A"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10 GERENCIAS</w:t>
            </w:r>
          </w:p>
          <w:p w14:paraId="7A8533D0"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25 DEPARTAMENTOS</w:t>
            </w:r>
          </w:p>
        </w:tc>
        <w:tc>
          <w:tcPr>
            <w:tcW w:w="1458" w:type="dxa"/>
          </w:tcPr>
          <w:p w14:paraId="6321B35D"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1EEAD9EB"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Pr>
                <w:rFonts w:ascii="Arial" w:hAnsi="Arial" w:cs="Arial"/>
                <w:color w:val="000000"/>
                <w:sz w:val="10"/>
                <w:szCs w:val="10"/>
              </w:rPr>
              <w:t>8</w:t>
            </w:r>
            <w:r w:rsidRPr="00494586">
              <w:rPr>
                <w:rFonts w:ascii="Arial" w:hAnsi="Arial" w:cs="Arial"/>
                <w:color w:val="000000"/>
                <w:sz w:val="10"/>
                <w:szCs w:val="10"/>
              </w:rPr>
              <w:t xml:space="preserve">  DIRECTORES</w:t>
            </w:r>
          </w:p>
          <w:p w14:paraId="32B6CBC3"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11 GERENCIAS</w:t>
            </w:r>
          </w:p>
          <w:p w14:paraId="29B3C4F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494586">
              <w:rPr>
                <w:rFonts w:ascii="Arial" w:hAnsi="Arial" w:cs="Arial"/>
                <w:color w:val="000000"/>
                <w:sz w:val="10"/>
                <w:szCs w:val="10"/>
              </w:rPr>
              <w:t>22 DEPARTAMENTOS</w:t>
            </w:r>
          </w:p>
        </w:tc>
        <w:tc>
          <w:tcPr>
            <w:tcW w:w="1468" w:type="dxa"/>
          </w:tcPr>
          <w:p w14:paraId="709727DE"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71E15313"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8 </w:t>
            </w:r>
            <w:r w:rsidRPr="00494586">
              <w:rPr>
                <w:rFonts w:ascii="Arial" w:hAnsi="Arial" w:cs="Arial"/>
                <w:color w:val="000000"/>
                <w:sz w:val="10"/>
                <w:szCs w:val="10"/>
              </w:rPr>
              <w:t xml:space="preserve"> DIRECTORES</w:t>
            </w:r>
          </w:p>
          <w:p w14:paraId="6C3D019A"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1</w:t>
            </w:r>
            <w:r w:rsidRPr="00494586">
              <w:rPr>
                <w:rFonts w:ascii="Arial" w:hAnsi="Arial" w:cs="Arial"/>
                <w:color w:val="000000"/>
                <w:sz w:val="10"/>
                <w:szCs w:val="10"/>
              </w:rPr>
              <w:t xml:space="preserve"> GERENCIAS</w:t>
            </w:r>
          </w:p>
          <w:p w14:paraId="7B735AF7" w14:textId="77777777" w:rsidR="00436C88" w:rsidRPr="00E056CB" w:rsidRDefault="00436C88" w:rsidP="00436C88">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23</w:t>
            </w:r>
            <w:r w:rsidRPr="00494586">
              <w:rPr>
                <w:rFonts w:ascii="Arial" w:hAnsi="Arial" w:cs="Arial"/>
                <w:color w:val="000000"/>
                <w:sz w:val="10"/>
                <w:szCs w:val="10"/>
              </w:rPr>
              <w:t xml:space="preserve"> DEPARTAMENTOS</w:t>
            </w:r>
          </w:p>
        </w:tc>
      </w:tr>
      <w:tr w:rsidR="00A84D75" w:rsidRPr="00E056CB" w14:paraId="6B73AD97" w14:textId="70F78189" w:rsidTr="00C043A8">
        <w:trPr>
          <w:gridAfter w:val="4"/>
          <w:wAfter w:w="4552" w:type="dxa"/>
          <w:trHeight w:val="59"/>
        </w:trPr>
        <w:tc>
          <w:tcPr>
            <w:tcW w:w="1348" w:type="dxa"/>
          </w:tcPr>
          <w:p w14:paraId="25F3E205" w14:textId="77777777" w:rsidR="00A84D75" w:rsidRPr="00E056CB" w:rsidRDefault="00A84D75" w:rsidP="00436C88">
            <w:pPr>
              <w:widowControl w:val="0"/>
              <w:autoSpaceDE w:val="0"/>
              <w:autoSpaceDN w:val="0"/>
              <w:adjustRightInd w:val="0"/>
              <w:ind w:left="720"/>
              <w:contextualSpacing/>
              <w:jc w:val="center"/>
              <w:rPr>
                <w:rFonts w:ascii="Arial" w:hAnsi="Arial" w:cs="Arial"/>
                <w:b/>
                <w:sz w:val="16"/>
                <w:szCs w:val="10"/>
              </w:rPr>
            </w:pPr>
            <w:r>
              <w:rPr>
                <w:rFonts w:ascii="Arial" w:hAnsi="Arial" w:cs="Arial"/>
                <w:b/>
                <w:sz w:val="16"/>
                <w:szCs w:val="10"/>
              </w:rPr>
              <w:t>2016</w:t>
            </w:r>
          </w:p>
        </w:tc>
        <w:tc>
          <w:tcPr>
            <w:tcW w:w="1348" w:type="dxa"/>
          </w:tcPr>
          <w:p w14:paraId="1832AF16" w14:textId="77777777" w:rsidR="00A84D75" w:rsidRPr="00E056CB" w:rsidRDefault="00A84D75" w:rsidP="00436C88">
            <w:pPr>
              <w:widowControl w:val="0"/>
              <w:autoSpaceDE w:val="0"/>
              <w:autoSpaceDN w:val="0"/>
              <w:adjustRightInd w:val="0"/>
              <w:ind w:left="720"/>
              <w:contextualSpacing/>
              <w:jc w:val="center"/>
              <w:rPr>
                <w:rFonts w:ascii="Arial" w:hAnsi="Arial" w:cs="Arial"/>
                <w:b/>
                <w:sz w:val="16"/>
                <w:szCs w:val="10"/>
              </w:rPr>
            </w:pPr>
            <w:r>
              <w:rPr>
                <w:rFonts w:ascii="Arial" w:hAnsi="Arial" w:cs="Arial"/>
                <w:b/>
                <w:sz w:val="16"/>
                <w:szCs w:val="10"/>
              </w:rPr>
              <w:t>2017</w:t>
            </w:r>
          </w:p>
        </w:tc>
        <w:tc>
          <w:tcPr>
            <w:tcW w:w="1348" w:type="dxa"/>
            <w:gridSpan w:val="2"/>
          </w:tcPr>
          <w:p w14:paraId="321F72B3" w14:textId="79631D17" w:rsidR="00A84D75" w:rsidRPr="00E056CB" w:rsidRDefault="00A84D75" w:rsidP="00436C88">
            <w:pPr>
              <w:spacing w:after="0" w:line="240" w:lineRule="auto"/>
              <w:jc w:val="right"/>
            </w:pPr>
            <w:r>
              <w:rPr>
                <w:rFonts w:ascii="Arial" w:hAnsi="Arial" w:cs="Arial"/>
                <w:b/>
                <w:sz w:val="16"/>
                <w:szCs w:val="10"/>
              </w:rPr>
              <w:t>2018</w:t>
            </w:r>
          </w:p>
        </w:tc>
        <w:tc>
          <w:tcPr>
            <w:tcW w:w="1348" w:type="dxa"/>
            <w:gridSpan w:val="2"/>
          </w:tcPr>
          <w:p w14:paraId="62314FFD" w14:textId="0FDB6B70" w:rsidR="00A84D75" w:rsidRPr="00E056CB" w:rsidRDefault="00A84D75" w:rsidP="00A84D75">
            <w:pPr>
              <w:spacing w:after="0" w:line="240" w:lineRule="auto"/>
              <w:jc w:val="right"/>
            </w:pPr>
            <w:r>
              <w:rPr>
                <w:rFonts w:ascii="Arial" w:hAnsi="Arial" w:cs="Arial"/>
                <w:b/>
                <w:sz w:val="16"/>
                <w:szCs w:val="10"/>
              </w:rPr>
              <w:t>2019</w:t>
            </w:r>
          </w:p>
        </w:tc>
      </w:tr>
      <w:tr w:rsidR="00A84D75" w:rsidRPr="00E056CB" w14:paraId="567B3D71" w14:textId="7BEEB7DC" w:rsidTr="00C043A8">
        <w:trPr>
          <w:gridAfter w:val="4"/>
          <w:wAfter w:w="4552" w:type="dxa"/>
          <w:trHeight w:val="710"/>
        </w:trPr>
        <w:tc>
          <w:tcPr>
            <w:tcW w:w="1348" w:type="dxa"/>
          </w:tcPr>
          <w:p w14:paraId="4FD76873" w14:textId="77777777" w:rsidR="00A84D75" w:rsidRPr="00494586" w:rsidRDefault="00A84D75"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15CEE184" w14:textId="77777777" w:rsidR="00A84D75" w:rsidRPr="00494586" w:rsidRDefault="00A84D75"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3CAE4159" w14:textId="77777777" w:rsidR="00A84D75" w:rsidRPr="00494586" w:rsidRDefault="00A84D75"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040DB63F" w14:textId="77777777" w:rsidR="00A84D75" w:rsidRPr="00E056CB" w:rsidRDefault="00A84D75" w:rsidP="00436C88">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19</w:t>
            </w:r>
            <w:r w:rsidRPr="00494586">
              <w:rPr>
                <w:rFonts w:ascii="Arial" w:hAnsi="Arial" w:cs="Arial"/>
                <w:color w:val="000000"/>
                <w:sz w:val="10"/>
                <w:szCs w:val="10"/>
              </w:rPr>
              <w:t xml:space="preserve"> DEPARTAMENTOS</w:t>
            </w:r>
          </w:p>
        </w:tc>
        <w:tc>
          <w:tcPr>
            <w:tcW w:w="1348" w:type="dxa"/>
          </w:tcPr>
          <w:p w14:paraId="1D154A3B" w14:textId="77777777" w:rsidR="00A84D75" w:rsidRPr="00494586" w:rsidRDefault="00A84D75"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54CD8DE0" w14:textId="77777777" w:rsidR="00A84D75" w:rsidRPr="00494586" w:rsidRDefault="00A84D75"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6CC8BF69" w14:textId="77777777" w:rsidR="00A84D75" w:rsidRPr="00494586" w:rsidRDefault="00A84D75"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6C6414B4" w14:textId="77777777" w:rsidR="00A84D75" w:rsidRPr="00E056CB" w:rsidRDefault="00A84D75" w:rsidP="00436C88">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19</w:t>
            </w:r>
            <w:r w:rsidRPr="00494586">
              <w:rPr>
                <w:rFonts w:ascii="Arial" w:hAnsi="Arial" w:cs="Arial"/>
                <w:color w:val="000000"/>
                <w:sz w:val="10"/>
                <w:szCs w:val="10"/>
              </w:rPr>
              <w:t xml:space="preserve"> DEPARTAMENTOS</w:t>
            </w:r>
          </w:p>
        </w:tc>
        <w:tc>
          <w:tcPr>
            <w:tcW w:w="1348" w:type="dxa"/>
            <w:gridSpan w:val="2"/>
          </w:tcPr>
          <w:p w14:paraId="481871B2" w14:textId="77777777" w:rsidR="00A84D75" w:rsidRPr="00494586" w:rsidRDefault="00A84D75"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6CCEA569" w14:textId="77777777" w:rsidR="00A84D75" w:rsidRPr="00494586" w:rsidRDefault="00A84D75"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4EAC8EA0" w14:textId="77777777" w:rsidR="00A84D75" w:rsidRPr="00494586" w:rsidRDefault="00A84D75"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7211DE25" w14:textId="77777777" w:rsidR="00A84D75" w:rsidRDefault="00A84D75">
            <w:pPr>
              <w:spacing w:after="0" w:line="240" w:lineRule="auto"/>
              <w:rPr>
                <w:rFonts w:ascii="Arial" w:hAnsi="Arial" w:cs="Arial"/>
                <w:color w:val="000000"/>
                <w:sz w:val="10"/>
                <w:szCs w:val="10"/>
              </w:rPr>
            </w:pPr>
            <w:r>
              <w:rPr>
                <w:rFonts w:ascii="Arial" w:hAnsi="Arial" w:cs="Arial"/>
                <w:color w:val="000000"/>
                <w:sz w:val="10"/>
                <w:szCs w:val="10"/>
              </w:rPr>
              <w:t>28</w:t>
            </w:r>
            <w:r w:rsidRPr="00494586">
              <w:rPr>
                <w:rFonts w:ascii="Arial" w:hAnsi="Arial" w:cs="Arial"/>
                <w:color w:val="000000"/>
                <w:sz w:val="10"/>
                <w:szCs w:val="10"/>
              </w:rPr>
              <w:t xml:space="preserve"> DEPARTAMENTOS</w:t>
            </w:r>
          </w:p>
          <w:p w14:paraId="63AEE873" w14:textId="32842BA7" w:rsidR="00A84D75" w:rsidRPr="00E056CB" w:rsidRDefault="00A84D75">
            <w:pPr>
              <w:spacing w:after="0" w:line="240" w:lineRule="auto"/>
            </w:pPr>
            <w:r>
              <w:rPr>
                <w:rFonts w:ascii="Arial" w:hAnsi="Arial" w:cs="Arial"/>
                <w:color w:val="000000"/>
                <w:sz w:val="10"/>
                <w:szCs w:val="10"/>
              </w:rPr>
              <w:t>1 CONTRALORIA INTERNA</w:t>
            </w:r>
          </w:p>
        </w:tc>
        <w:tc>
          <w:tcPr>
            <w:tcW w:w="1348" w:type="dxa"/>
            <w:gridSpan w:val="2"/>
          </w:tcPr>
          <w:p w14:paraId="6148ADF1" w14:textId="77777777" w:rsidR="00A84D75" w:rsidRPr="00494586" w:rsidRDefault="00A84D75" w:rsidP="00C043A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3C45D4F6" w14:textId="77777777" w:rsidR="00A84D75" w:rsidRPr="00494586" w:rsidRDefault="00A84D75" w:rsidP="00C043A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5E07B61C" w14:textId="77777777" w:rsidR="00A84D75" w:rsidRPr="00494586" w:rsidRDefault="00A84D75" w:rsidP="00C043A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68E23AB8" w14:textId="77777777" w:rsidR="00A84D75" w:rsidRDefault="00A84D75" w:rsidP="00C043A8">
            <w:pPr>
              <w:spacing w:after="0" w:line="240" w:lineRule="auto"/>
              <w:rPr>
                <w:rFonts w:ascii="Arial" w:hAnsi="Arial" w:cs="Arial"/>
                <w:color w:val="000000"/>
                <w:sz w:val="10"/>
                <w:szCs w:val="10"/>
              </w:rPr>
            </w:pPr>
            <w:r>
              <w:rPr>
                <w:rFonts w:ascii="Arial" w:hAnsi="Arial" w:cs="Arial"/>
                <w:color w:val="000000"/>
                <w:sz w:val="10"/>
                <w:szCs w:val="10"/>
              </w:rPr>
              <w:t>28</w:t>
            </w:r>
            <w:r w:rsidRPr="00494586">
              <w:rPr>
                <w:rFonts w:ascii="Arial" w:hAnsi="Arial" w:cs="Arial"/>
                <w:color w:val="000000"/>
                <w:sz w:val="10"/>
                <w:szCs w:val="10"/>
              </w:rPr>
              <w:t xml:space="preserve"> DEPARTAMENTOS</w:t>
            </w:r>
          </w:p>
          <w:p w14:paraId="10106D95" w14:textId="49F389EC" w:rsidR="00A84D75" w:rsidRPr="00E056CB" w:rsidRDefault="00A84D75">
            <w:pPr>
              <w:spacing w:after="0" w:line="240" w:lineRule="auto"/>
            </w:pPr>
            <w:r>
              <w:rPr>
                <w:rFonts w:ascii="Arial" w:hAnsi="Arial" w:cs="Arial"/>
                <w:color w:val="000000"/>
                <w:sz w:val="10"/>
                <w:szCs w:val="10"/>
              </w:rPr>
              <w:t>1 CONTRALORIA INTERNA</w:t>
            </w:r>
          </w:p>
        </w:tc>
      </w:tr>
    </w:tbl>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BF58942" w14:textId="77777777" w:rsidR="00436C88" w:rsidRDefault="00436C88" w:rsidP="00436C88">
      <w:pPr>
        <w:jc w:val="both"/>
        <w:rPr>
          <w:rFonts w:ascii="Arial" w:eastAsia="Times New Roman" w:hAnsi="Arial" w:cs="Arial"/>
          <w:color w:val="000000"/>
          <w:sz w:val="20"/>
          <w:szCs w:val="20"/>
          <w:u w:val="single"/>
          <w:lang w:eastAsia="es-ES"/>
        </w:rPr>
      </w:pPr>
    </w:p>
    <w:p w14:paraId="00DD7C48" w14:textId="77777777" w:rsidR="00436C88" w:rsidRPr="00A36CC2" w:rsidRDefault="00436C88" w:rsidP="00436C88">
      <w:pPr>
        <w:jc w:val="both"/>
        <w:rPr>
          <w:rFonts w:ascii="Arial" w:hAnsi="Arial" w:cs="Arial"/>
          <w:sz w:val="20"/>
          <w:szCs w:val="20"/>
          <w:u w:val="single"/>
        </w:rPr>
      </w:pPr>
      <w:r w:rsidRPr="00A36CC2">
        <w:rPr>
          <w:rFonts w:ascii="Arial" w:eastAsia="Times New Roman" w:hAnsi="Arial" w:cs="Arial"/>
          <w:color w:val="000000"/>
          <w:sz w:val="20"/>
          <w:szCs w:val="20"/>
          <w:u w:val="single"/>
          <w:lang w:eastAsia="es-ES"/>
        </w:rPr>
        <w:t xml:space="preserve">Administrar y proporcionar los servicios de agua potable, alcantarillado, y tratamiento de aguas residuales, así como la promoción del reúso de dichas aguas, dentro de los límites territoriales que le haya determinado el Ayuntamiento Municipal, </w:t>
      </w:r>
      <w:r w:rsidRPr="00A36CC2">
        <w:rPr>
          <w:rFonts w:ascii="Arial" w:hAnsi="Arial" w:cs="Arial"/>
          <w:color w:val="000000"/>
          <w:sz w:val="20"/>
          <w:szCs w:val="20"/>
          <w:u w:val="single"/>
        </w:rPr>
        <w:t>Planear, estudiar, proyectar, construir, rehabilitar, ampliar, operar, mantener y conservar la infraestructura de agua potable, alcantarillado, tratamiento y reúso de aguas y lodos residuales, promover y ejecutar programas de uso eficiente del agua y difundir una cultura del agua en el Municipio; formular y mantener actualizado el padrón de usuarios de las zonas a su cargo.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F3FB6F7" w14:textId="77777777" w:rsidR="00436C88" w:rsidRDefault="00436C88" w:rsidP="00436C88">
      <w:pPr>
        <w:rPr>
          <w:rFonts w:ascii="Arial" w:hAnsi="Arial" w:cs="Arial"/>
          <w:sz w:val="20"/>
          <w:szCs w:val="20"/>
          <w:u w:val="single"/>
        </w:rPr>
      </w:pPr>
    </w:p>
    <w:p w14:paraId="72B83114" w14:textId="77777777" w:rsidR="00436C88" w:rsidRPr="00E7588A" w:rsidRDefault="00436C88" w:rsidP="00436C88">
      <w:pPr>
        <w:jc w:val="both"/>
        <w:rPr>
          <w:rFonts w:ascii="Arial" w:hAnsi="Arial" w:cs="Arial"/>
          <w:sz w:val="20"/>
          <w:szCs w:val="20"/>
          <w:u w:val="single"/>
        </w:rPr>
      </w:pPr>
      <w:r>
        <w:rPr>
          <w:rFonts w:ascii="Arial" w:hAnsi="Arial" w:cs="Arial"/>
          <w:sz w:val="20"/>
          <w:szCs w:val="20"/>
          <w:u w:val="single"/>
        </w:rPr>
        <w:t>La prestación del Servicio de Agua Potable y alcantarillado, drenaje, tratamiento y disposición de las aguas residuales y tratadas.</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1AADF4FC"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A84D75">
        <w:rPr>
          <w:rFonts w:cs="Calibri"/>
        </w:rPr>
        <w:t>9</w:t>
      </w:r>
      <w:r w:rsidRPr="00E74967">
        <w:rPr>
          <w:rFonts w:cs="Calibri"/>
        </w:rPr>
        <w:t>).</w:t>
      </w:r>
    </w:p>
    <w:p w14:paraId="3E840FC0" w14:textId="77777777" w:rsidR="00436C88" w:rsidRDefault="00436C88" w:rsidP="00436C88">
      <w:pPr>
        <w:rPr>
          <w:rFonts w:ascii="Arial" w:hAnsi="Arial" w:cs="Arial"/>
          <w:sz w:val="20"/>
          <w:szCs w:val="20"/>
          <w:u w:val="single"/>
        </w:rPr>
      </w:pPr>
    </w:p>
    <w:p w14:paraId="3D77F879" w14:textId="68B0E53A" w:rsidR="00436C88" w:rsidRDefault="00436C88" w:rsidP="00436C88">
      <w:pPr>
        <w:rPr>
          <w:rFonts w:ascii="Arial" w:hAnsi="Arial" w:cs="Arial"/>
          <w:sz w:val="20"/>
          <w:szCs w:val="20"/>
          <w:u w:val="single"/>
        </w:rPr>
      </w:pPr>
      <w:r w:rsidRPr="00CF5D19">
        <w:rPr>
          <w:rFonts w:ascii="Arial" w:hAnsi="Arial" w:cs="Arial"/>
          <w:sz w:val="20"/>
          <w:szCs w:val="20"/>
          <w:u w:val="single"/>
        </w:rPr>
        <w:t>ENERO A DICIEMBRE 201</w:t>
      </w:r>
      <w:r w:rsidR="00A84D75">
        <w:rPr>
          <w:rFonts w:ascii="Arial" w:hAnsi="Arial" w:cs="Arial"/>
          <w:sz w:val="20"/>
          <w:szCs w:val="20"/>
          <w:u w:val="single"/>
        </w:rPr>
        <w:t>9</w:t>
      </w:r>
      <w:r w:rsidRPr="00CF5D19">
        <w:rPr>
          <w:rFonts w:ascii="Arial" w:hAnsi="Arial" w:cs="Arial"/>
          <w:sz w:val="20"/>
          <w:szCs w:val="20"/>
          <w:u w:val="single"/>
        </w:rPr>
        <w:t>.</w:t>
      </w:r>
      <w:r>
        <w:rPr>
          <w:rFonts w:ascii="Arial" w:hAnsi="Arial" w:cs="Arial"/>
          <w:sz w:val="20"/>
          <w:szCs w:val="20"/>
          <w:u w:val="single"/>
        </w:rPr>
        <w:t xml:space="preserve"> </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58B45C1" w14:textId="77777777" w:rsidR="00436C88" w:rsidRPr="00E74967" w:rsidRDefault="00436C88" w:rsidP="00CB41C4">
      <w:pPr>
        <w:tabs>
          <w:tab w:val="left" w:leader="underscore" w:pos="9639"/>
        </w:tabs>
        <w:spacing w:after="0" w:line="240" w:lineRule="auto"/>
        <w:jc w:val="both"/>
        <w:rPr>
          <w:rFonts w:cs="Calibri"/>
        </w:rPr>
      </w:pPr>
    </w:p>
    <w:p w14:paraId="67B4FE43" w14:textId="77777777" w:rsidR="00436C88" w:rsidRPr="000D7D75" w:rsidRDefault="00436C88" w:rsidP="00436C88">
      <w:pPr>
        <w:rPr>
          <w:rFonts w:ascii="Arial" w:hAnsi="Arial" w:cs="Arial"/>
          <w:sz w:val="20"/>
          <w:szCs w:val="20"/>
          <w:u w:val="single"/>
        </w:rPr>
      </w:pPr>
      <w:r w:rsidRPr="000D7D75">
        <w:rPr>
          <w:rFonts w:ascii="Arial" w:hAnsi="Arial" w:cs="Arial"/>
          <w:sz w:val="20"/>
          <w:szCs w:val="20"/>
          <w:u w:val="single"/>
        </w:rPr>
        <w:t>Personas Morales sin fines de lucro.</w:t>
      </w: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1C6D8C1" w14:textId="77777777" w:rsidR="00436C88" w:rsidRDefault="00436C88" w:rsidP="00436C88">
      <w:pPr>
        <w:jc w:val="both"/>
        <w:rPr>
          <w:rFonts w:ascii="Arial" w:hAnsi="Arial" w:cs="Arial"/>
          <w:sz w:val="20"/>
          <w:szCs w:val="20"/>
          <w:u w:val="single"/>
        </w:rPr>
      </w:pPr>
      <w:r w:rsidRPr="00B55CCE">
        <w:rPr>
          <w:rFonts w:ascii="Arial" w:hAnsi="Arial" w:cs="Arial"/>
          <w:b/>
          <w:sz w:val="20"/>
          <w:szCs w:val="20"/>
          <w:u w:val="single"/>
        </w:rPr>
        <w:t>Pagar:</w:t>
      </w:r>
      <w:r>
        <w:rPr>
          <w:rFonts w:ascii="Arial" w:hAnsi="Arial" w:cs="Arial"/>
          <w:sz w:val="20"/>
          <w:szCs w:val="20"/>
          <w:u w:val="single"/>
        </w:rPr>
        <w:t xml:space="preserve"> Derechos por Extracción de Agua Potable, Derechos por Descarga de Aguas Residuales, 2% sobre </w:t>
      </w:r>
      <w:proofErr w:type="spellStart"/>
      <w:r>
        <w:rPr>
          <w:rFonts w:ascii="Arial" w:hAnsi="Arial" w:cs="Arial"/>
          <w:sz w:val="20"/>
          <w:szCs w:val="20"/>
          <w:u w:val="single"/>
        </w:rPr>
        <w:t>Nominas</w:t>
      </w:r>
      <w:proofErr w:type="spellEnd"/>
      <w:r>
        <w:rPr>
          <w:rFonts w:ascii="Arial" w:hAnsi="Arial" w:cs="Arial"/>
          <w:sz w:val="20"/>
          <w:szCs w:val="20"/>
          <w:u w:val="single"/>
        </w:rPr>
        <w:t xml:space="preserve">, IVA a Cargo </w:t>
      </w:r>
      <w:r w:rsidRPr="00B55CCE">
        <w:rPr>
          <w:rFonts w:ascii="Arial" w:hAnsi="Arial" w:cs="Arial"/>
          <w:b/>
          <w:sz w:val="20"/>
          <w:szCs w:val="20"/>
          <w:u w:val="single"/>
        </w:rPr>
        <w:t>Retener:</w:t>
      </w:r>
      <w:r w:rsidRPr="00B55CCE">
        <w:rPr>
          <w:rFonts w:ascii="Arial" w:hAnsi="Arial" w:cs="Arial"/>
          <w:sz w:val="20"/>
          <w:szCs w:val="20"/>
          <w:u w:val="single"/>
        </w:rPr>
        <w:t xml:space="preserve"> </w:t>
      </w:r>
      <w:r>
        <w:rPr>
          <w:rFonts w:ascii="Arial" w:hAnsi="Arial" w:cs="Arial"/>
          <w:sz w:val="20"/>
          <w:szCs w:val="20"/>
          <w:u w:val="single"/>
        </w:rPr>
        <w:t>I</w:t>
      </w:r>
      <w:r w:rsidRPr="00B55CCE">
        <w:rPr>
          <w:rFonts w:ascii="Arial" w:hAnsi="Arial" w:cs="Arial"/>
          <w:sz w:val="20"/>
          <w:szCs w:val="20"/>
          <w:u w:val="single"/>
        </w:rPr>
        <w:t>mpue</w:t>
      </w:r>
      <w:r>
        <w:rPr>
          <w:rFonts w:ascii="Arial" w:hAnsi="Arial" w:cs="Arial"/>
          <w:sz w:val="20"/>
          <w:szCs w:val="20"/>
          <w:u w:val="single"/>
        </w:rPr>
        <w:t>sto sobre la renta a empleados, Honorarios, A</w:t>
      </w:r>
      <w:r w:rsidRPr="00B55CCE">
        <w:rPr>
          <w:rFonts w:ascii="Arial" w:hAnsi="Arial" w:cs="Arial"/>
          <w:sz w:val="20"/>
          <w:szCs w:val="20"/>
          <w:u w:val="single"/>
        </w:rPr>
        <w:t>rrendamiento</w:t>
      </w:r>
      <w:r>
        <w:rPr>
          <w:rFonts w:ascii="Arial" w:hAnsi="Arial" w:cs="Arial"/>
          <w:sz w:val="20"/>
          <w:szCs w:val="20"/>
          <w:u w:val="single"/>
        </w:rPr>
        <w:t>, I</w:t>
      </w:r>
      <w:r w:rsidRPr="00B55CCE">
        <w:rPr>
          <w:rFonts w:ascii="Arial" w:hAnsi="Arial" w:cs="Arial"/>
          <w:sz w:val="20"/>
          <w:szCs w:val="20"/>
          <w:u w:val="single"/>
        </w:rPr>
        <w:t xml:space="preserve">mpuesto cedular, </w:t>
      </w:r>
      <w:r>
        <w:rPr>
          <w:rFonts w:ascii="Arial" w:hAnsi="Arial" w:cs="Arial"/>
          <w:sz w:val="20"/>
          <w:szCs w:val="20"/>
          <w:u w:val="single"/>
        </w:rPr>
        <w:t xml:space="preserve">ISR Extranjeros. </w:t>
      </w:r>
      <w:r w:rsidRPr="00B55CCE">
        <w:rPr>
          <w:rFonts w:ascii="Arial" w:hAnsi="Arial" w:cs="Arial"/>
          <w:b/>
          <w:sz w:val="20"/>
          <w:szCs w:val="20"/>
          <w:u w:val="single"/>
        </w:rPr>
        <w:t>Se entera</w:t>
      </w:r>
      <w:r>
        <w:rPr>
          <w:rFonts w:ascii="Arial" w:hAnsi="Arial" w:cs="Arial"/>
          <w:sz w:val="20"/>
          <w:szCs w:val="20"/>
          <w:u w:val="single"/>
        </w:rPr>
        <w:t xml:space="preserve"> el IVA a Favor para devoluciones.</w:t>
      </w:r>
    </w:p>
    <w:p w14:paraId="6268EF76" w14:textId="77777777" w:rsidR="007D1E76" w:rsidRPr="003C0BA3" w:rsidRDefault="007D1E76" w:rsidP="00CB41C4">
      <w:pPr>
        <w:tabs>
          <w:tab w:val="left" w:leader="underscore" w:pos="9639"/>
        </w:tabs>
        <w:spacing w:after="0" w:line="240" w:lineRule="auto"/>
        <w:jc w:val="both"/>
        <w:rPr>
          <w:rFonts w:cs="Calibri"/>
        </w:rPr>
      </w:pPr>
    </w:p>
    <w:p w14:paraId="6EB77A6D" w14:textId="77777777" w:rsidR="007D1E76" w:rsidRPr="003C0BA3" w:rsidRDefault="007D1E76" w:rsidP="00CB41C4">
      <w:pPr>
        <w:tabs>
          <w:tab w:val="left" w:leader="underscore" w:pos="9639"/>
        </w:tabs>
        <w:spacing w:after="0" w:line="240" w:lineRule="auto"/>
        <w:jc w:val="both"/>
        <w:rPr>
          <w:rFonts w:cs="Calibri"/>
        </w:rPr>
      </w:pPr>
      <w:r w:rsidRPr="003C0BA3">
        <w:rPr>
          <w:rFonts w:cs="Calibri"/>
          <w:b/>
        </w:rPr>
        <w:t>f)</w:t>
      </w:r>
      <w:r w:rsidRPr="003C0BA3">
        <w:rPr>
          <w:rFonts w:cs="Calibri"/>
        </w:rPr>
        <w:t xml:space="preserve"> Estructura organizacional básica.</w:t>
      </w:r>
    </w:p>
    <w:p w14:paraId="0FE08B68" w14:textId="77777777" w:rsidR="007D1E76" w:rsidRDefault="007D1E76" w:rsidP="00CB41C4">
      <w:pPr>
        <w:tabs>
          <w:tab w:val="left" w:leader="underscore" w:pos="9639"/>
        </w:tabs>
        <w:spacing w:after="0" w:line="240" w:lineRule="auto"/>
        <w:ind w:firstLine="708"/>
        <w:jc w:val="both"/>
        <w:rPr>
          <w:rFonts w:cs="Calibri"/>
        </w:rPr>
      </w:pPr>
      <w:r w:rsidRPr="003C0BA3">
        <w:rPr>
          <w:rFonts w:cs="Calibri"/>
        </w:rPr>
        <w:t>*Anexar organigrama de la entidad.</w:t>
      </w:r>
    </w:p>
    <w:p w14:paraId="6A8374A1" w14:textId="77777777" w:rsidR="003C0BA3" w:rsidRPr="003C0BA3" w:rsidRDefault="003C0BA3" w:rsidP="00CB41C4">
      <w:pPr>
        <w:tabs>
          <w:tab w:val="left" w:leader="underscore" w:pos="9639"/>
        </w:tabs>
        <w:spacing w:after="0" w:line="240" w:lineRule="auto"/>
        <w:ind w:firstLine="708"/>
        <w:jc w:val="both"/>
        <w:rPr>
          <w:rFonts w:cs="Calibri"/>
        </w:rPr>
      </w:pPr>
    </w:p>
    <w:p w14:paraId="3450C629" w14:textId="3688FBB3" w:rsidR="007D1E76" w:rsidRPr="003C0BA3" w:rsidRDefault="007D1E76" w:rsidP="00CB41C4">
      <w:pPr>
        <w:tabs>
          <w:tab w:val="left" w:leader="underscore" w:pos="9639"/>
        </w:tabs>
        <w:spacing w:after="0" w:line="240" w:lineRule="auto"/>
        <w:jc w:val="both"/>
        <w:rPr>
          <w:rFonts w:cs="Calibri"/>
        </w:rPr>
      </w:pPr>
    </w:p>
    <w:p w14:paraId="402CD14D" w14:textId="2E5280CF" w:rsidR="00CB41C4" w:rsidRDefault="003C0BA3" w:rsidP="003C0BA3">
      <w:pPr>
        <w:tabs>
          <w:tab w:val="left" w:leader="underscore" w:pos="9639"/>
        </w:tabs>
        <w:spacing w:after="0" w:line="240" w:lineRule="auto"/>
        <w:jc w:val="center"/>
        <w:rPr>
          <w:rFonts w:cs="Calibri"/>
        </w:rPr>
      </w:pPr>
      <w:r>
        <w:rPr>
          <w:rFonts w:cs="Calibri"/>
          <w:noProof/>
          <w:lang w:eastAsia="es-MX"/>
        </w:rPr>
        <w:drawing>
          <wp:inline distT="0" distB="0" distL="0" distR="0" wp14:anchorId="650177E7" wp14:editId="768F6CC4">
            <wp:extent cx="5839818" cy="4381485"/>
            <wp:effectExtent l="0" t="0" r="8890" b="635"/>
            <wp:docPr id="5" name="Imagen 5" descr="W:\M FINANZAS\CONTABIL\AÑO 2019\00-CIERRES\03 MARZO\ORGANIGRAMA  DGJ  FEBRERO 2019- PUESTOS\Diapositiv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M FINANZAS\CONTABIL\AÑO 2019\00-CIERRES\03 MARZO\ORGANIGRAMA  DGJ  FEBRERO 2019- PUESTOS\Diapositiva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2779" cy="4383707"/>
                    </a:xfrm>
                    <a:prstGeom prst="rect">
                      <a:avLst/>
                    </a:prstGeom>
                    <a:noFill/>
                    <a:ln>
                      <a:noFill/>
                    </a:ln>
                  </pic:spPr>
                </pic:pic>
              </a:graphicData>
            </a:graphic>
          </wp:inline>
        </w:drawing>
      </w: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99AEA30" w14:textId="77777777" w:rsidR="008A41BD" w:rsidRDefault="008A41BD" w:rsidP="008A41BD">
      <w:pPr>
        <w:pStyle w:val="Textoindependiente"/>
        <w:ind w:left="540" w:hanging="540"/>
        <w:rPr>
          <w:rFonts w:ascii="Calibri" w:eastAsia="Calibri" w:hAnsi="Calibri" w:cs="Calibri"/>
          <w:color w:val="auto"/>
          <w:sz w:val="22"/>
          <w:szCs w:val="22"/>
          <w:lang w:val="es-MX" w:eastAsia="en-US"/>
        </w:rPr>
      </w:pPr>
    </w:p>
    <w:p w14:paraId="6E3EAD87" w14:textId="3F8F63C8" w:rsidR="008A41BD" w:rsidRPr="008A41BD" w:rsidRDefault="008A41BD" w:rsidP="00C043A8">
      <w:pPr>
        <w:pStyle w:val="Textoindependiente"/>
        <w:ind w:left="540"/>
        <w:rPr>
          <w:rFonts w:asciiTheme="minorHAnsi" w:eastAsia="Calibri" w:hAnsiTheme="minorHAnsi" w:cstheme="minorHAnsi"/>
          <w:color w:val="auto"/>
          <w:u w:val="single"/>
          <w:lang w:val="es-MX" w:eastAsia="en-US"/>
        </w:rPr>
      </w:pPr>
      <w:r w:rsidRPr="008A41BD">
        <w:rPr>
          <w:rFonts w:asciiTheme="minorHAnsi" w:eastAsia="Calibri" w:hAnsiTheme="minorHAnsi" w:cstheme="minorHAnsi"/>
          <w:color w:val="auto"/>
          <w:u w:val="single"/>
          <w:lang w:val="es-MX" w:eastAsia="en-US"/>
        </w:rPr>
        <w:t xml:space="preserve">FIDEICOMISO No. 1902, denominado “Fondo de Inversión en </w:t>
      </w:r>
      <w:r w:rsidR="00C043A8">
        <w:rPr>
          <w:rFonts w:asciiTheme="minorHAnsi" w:eastAsia="Calibri" w:hAnsiTheme="minorHAnsi" w:cstheme="minorHAnsi"/>
          <w:color w:val="auto"/>
          <w:u w:val="single"/>
          <w:lang w:val="es-MX" w:eastAsia="en-US"/>
        </w:rPr>
        <w:t xml:space="preserve">Infraestructura”, mismo que fue </w:t>
      </w:r>
      <w:r w:rsidRPr="008A41BD">
        <w:rPr>
          <w:rFonts w:asciiTheme="minorHAnsi" w:eastAsia="Calibri" w:hAnsiTheme="minorHAnsi" w:cstheme="minorHAnsi"/>
          <w:color w:val="auto"/>
          <w:u w:val="single"/>
          <w:lang w:val="es-MX" w:eastAsia="en-US"/>
        </w:rPr>
        <w:t>autorizado</w:t>
      </w:r>
      <w:r>
        <w:rPr>
          <w:rFonts w:asciiTheme="minorHAnsi" w:eastAsia="Calibri" w:hAnsiTheme="minorHAnsi" w:cstheme="minorHAnsi"/>
          <w:color w:val="auto"/>
          <w:u w:val="single"/>
          <w:lang w:val="es-MX" w:eastAsia="en-US"/>
        </w:rPr>
        <w:t xml:space="preserve"> </w:t>
      </w:r>
      <w:r w:rsidRPr="008A41BD">
        <w:rPr>
          <w:rFonts w:asciiTheme="minorHAnsi" w:eastAsia="Calibri" w:hAnsiTheme="minorHAnsi" w:cstheme="minorHAnsi"/>
          <w:color w:val="auto"/>
          <w:u w:val="single"/>
          <w:lang w:val="es-MX" w:eastAsia="en-US"/>
        </w:rPr>
        <w:t xml:space="preserve">por el Comité Técnico de dicho FIDEICOMISO en el Acuerdo CT.-IV-9/DIC/2005-V.12 contenido en el Oficio número SDP/141000/030/2006 de fecha </w:t>
      </w:r>
      <w:smartTag w:uri="urn:schemas-microsoft-com:office:smarttags" w:element="date">
        <w:smartTagPr>
          <w:attr w:name="Year" w:val="2006"/>
          <w:attr w:name="Day" w:val="18"/>
          <w:attr w:name="Month" w:val="1"/>
          <w:attr w:name="ls" w:val="trans"/>
        </w:smartTagPr>
        <w:r w:rsidRPr="008A41BD">
          <w:rPr>
            <w:rFonts w:asciiTheme="minorHAnsi" w:eastAsia="Calibri" w:hAnsiTheme="minorHAnsi" w:cstheme="minorHAnsi"/>
            <w:color w:val="auto"/>
            <w:u w:val="single"/>
            <w:lang w:val="es-MX" w:eastAsia="en-US"/>
          </w:rPr>
          <w:t>18 de enero del 2006</w:t>
        </w:r>
      </w:smartTag>
      <w:r w:rsidRPr="008A41BD">
        <w:rPr>
          <w:rFonts w:asciiTheme="minorHAnsi" w:eastAsia="Calibri" w:hAnsiTheme="minorHAnsi" w:cstheme="minorHAnsi"/>
          <w:color w:val="auto"/>
          <w:u w:val="single"/>
          <w:lang w:val="es-MX" w:eastAsia="en-US"/>
        </w:rPr>
        <w:t>.</w:t>
      </w:r>
    </w:p>
    <w:p w14:paraId="28480F15" w14:textId="77777777" w:rsidR="00B864D4" w:rsidRPr="008A41BD" w:rsidRDefault="00B864D4" w:rsidP="008A41BD">
      <w:pPr>
        <w:tabs>
          <w:tab w:val="left" w:leader="underscore" w:pos="9639"/>
        </w:tabs>
        <w:spacing w:after="0" w:line="240" w:lineRule="auto"/>
        <w:jc w:val="both"/>
        <w:rPr>
          <w:rFonts w:asciiTheme="minorHAnsi" w:hAnsiTheme="minorHAnsi" w:cstheme="minorHAnsi"/>
          <w:sz w:val="24"/>
          <w:szCs w:val="24"/>
          <w:u w:val="single"/>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15DF2B08" w14:textId="77777777" w:rsidR="007359DA" w:rsidRDefault="007359DA" w:rsidP="007359DA">
      <w:pPr>
        <w:rPr>
          <w:rFonts w:ascii="Arial" w:hAnsi="Arial" w:cs="Arial"/>
          <w:sz w:val="20"/>
          <w:szCs w:val="20"/>
          <w:u w:val="single"/>
        </w:rPr>
      </w:pPr>
    </w:p>
    <w:p w14:paraId="1DAF4AFE" w14:textId="77777777" w:rsidR="007359DA" w:rsidRDefault="007359DA" w:rsidP="007359DA">
      <w:pPr>
        <w:rPr>
          <w:rFonts w:ascii="Arial" w:hAnsi="Arial" w:cs="Arial"/>
          <w:sz w:val="20"/>
          <w:szCs w:val="20"/>
          <w:u w:val="single"/>
        </w:rPr>
      </w:pPr>
      <w:r w:rsidRPr="000D7D75">
        <w:rPr>
          <w:rFonts w:ascii="Arial" w:hAnsi="Arial" w:cs="Arial"/>
          <w:sz w:val="20"/>
          <w:szCs w:val="20"/>
          <w:u w:val="single"/>
        </w:rPr>
        <w:t>SI.</w:t>
      </w:r>
    </w:p>
    <w:p w14:paraId="4B06B4A3" w14:textId="77777777" w:rsidR="0056749C" w:rsidRPr="000D7D75" w:rsidRDefault="0056749C" w:rsidP="007359DA">
      <w:pPr>
        <w:rPr>
          <w:rFonts w:ascii="Arial" w:hAnsi="Arial" w:cs="Arial"/>
          <w:sz w:val="20"/>
          <w:szCs w:val="20"/>
          <w:u w:val="single"/>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BCCAB95" w14:textId="77777777" w:rsidR="007359DA" w:rsidRDefault="007359DA" w:rsidP="007359DA">
      <w:pPr>
        <w:rPr>
          <w:rFonts w:ascii="Arial" w:hAnsi="Arial" w:cs="Arial"/>
          <w:sz w:val="20"/>
          <w:szCs w:val="20"/>
          <w:u w:val="single"/>
        </w:rPr>
      </w:pPr>
    </w:p>
    <w:p w14:paraId="0146FFB6" w14:textId="77777777" w:rsidR="007359DA" w:rsidRPr="00771743" w:rsidRDefault="007359DA" w:rsidP="007359DA">
      <w:pPr>
        <w:jc w:val="both"/>
        <w:rPr>
          <w:rFonts w:ascii="Arial" w:hAnsi="Arial" w:cs="Arial"/>
          <w:sz w:val="20"/>
          <w:szCs w:val="20"/>
          <w:u w:val="single"/>
        </w:rPr>
      </w:pPr>
      <w:r w:rsidRPr="00771743">
        <w:rPr>
          <w:rFonts w:ascii="Arial" w:hAnsi="Arial" w:cs="Arial"/>
          <w:sz w:val="20"/>
          <w:szCs w:val="20"/>
          <w:u w:val="single"/>
        </w:rPr>
        <w:t>El método de valuación de inventarios utilizado en el Organismo es el UEPS, y que refleja un costo de los materiales más conservador en el entorno económico en el que nos desenvolvemos. La información se registra a costo histórico.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1420ED0" w14:textId="77777777" w:rsidR="007359DA" w:rsidRPr="00E74967" w:rsidRDefault="007359DA" w:rsidP="00CB41C4">
      <w:pPr>
        <w:tabs>
          <w:tab w:val="left" w:leader="underscore" w:pos="9639"/>
        </w:tabs>
        <w:spacing w:after="0" w:line="240" w:lineRule="auto"/>
        <w:jc w:val="both"/>
        <w:rPr>
          <w:rFonts w:cs="Calibri"/>
        </w:rPr>
      </w:pPr>
    </w:p>
    <w:p w14:paraId="0222EF46" w14:textId="77777777" w:rsidR="007359DA" w:rsidRPr="00771743" w:rsidRDefault="007359DA" w:rsidP="007359DA">
      <w:pPr>
        <w:jc w:val="both"/>
        <w:rPr>
          <w:rFonts w:ascii="Arial" w:hAnsi="Arial" w:cs="Arial"/>
          <w:sz w:val="20"/>
          <w:szCs w:val="20"/>
          <w:u w:val="single"/>
        </w:rPr>
      </w:pPr>
      <w:r w:rsidRPr="00771743">
        <w:rPr>
          <w:rFonts w:ascii="Arial" w:hAnsi="Arial" w:cs="Arial"/>
          <w:sz w:val="20"/>
          <w:szCs w:val="20"/>
          <w:u w:val="single"/>
        </w:rPr>
        <w:t>En la presentación de la información financiera y contable del Organismo se ha cuidado dar cumplimiento a lo establecido en los Postulados de conformidad con lo dispuesto en la Ley General de Contabilidad Gubernamental: Sustancia Económica, Entes Públicos, Existencia Permanente, Revelación Suficiente, Importancia Relativa, Registro e Integración Presupuestaria, Consolidación de la Información Financiera, Devengo Contable, Valuación, Dualidad Económica y Consistencia</w:t>
      </w:r>
      <w:r>
        <w:rPr>
          <w:rFonts w:ascii="Arial" w:hAnsi="Arial" w:cs="Arial"/>
          <w:sz w:val="20"/>
          <w:szCs w:val="20"/>
          <w:u w:val="single"/>
        </w:rPr>
        <w:t>.</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28176F7" w14:textId="11C222EE"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4C39C24F" w14:textId="571215B8"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lastRenderedPageBreak/>
        <w:t>“Esta nota no le aplica al ente público”</w:t>
      </w:r>
      <w:r>
        <w:rPr>
          <w:rFonts w:asciiTheme="minorHAnsi" w:hAnsiTheme="minorHAnsi" w:cstheme="minorHAnsi"/>
          <w:sz w:val="24"/>
          <w:szCs w:val="24"/>
          <w:u w:val="single"/>
        </w:rPr>
        <w:t xml:space="preserve"> no somos Entidades que lo estemos implementando por primera vez.</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5D9FA111" w14:textId="77777777" w:rsid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somos Entidades que lo estemos implementando por primera vez.</w:t>
      </w:r>
    </w:p>
    <w:p w14:paraId="4FF300B0"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86E2EEA"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somos Entidades que lo estemos implementando por primera vez.</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D9EDAFA"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2436716"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0ED68EA9"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1C1D647B" w14:textId="2F64414C" w:rsidR="007D1E76" w:rsidRPr="00E74967" w:rsidRDefault="007D1E76" w:rsidP="00CB41C4">
      <w:pPr>
        <w:tabs>
          <w:tab w:val="left" w:leader="underscore" w:pos="9639"/>
        </w:tabs>
        <w:spacing w:after="0" w:line="240" w:lineRule="auto"/>
        <w:jc w:val="both"/>
        <w:rPr>
          <w:rFonts w:cs="Calibri"/>
        </w:rPr>
      </w:pP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B48585B" w14:textId="77777777" w:rsidR="00CB49A2" w:rsidRPr="008F0698" w:rsidRDefault="00CB49A2" w:rsidP="00CB49A2">
      <w:pPr>
        <w:rPr>
          <w:rFonts w:ascii="Arial" w:hAnsi="Arial" w:cs="Arial"/>
          <w:sz w:val="20"/>
          <w:szCs w:val="20"/>
          <w:u w:val="single"/>
        </w:rPr>
      </w:pPr>
      <w:r>
        <w:rPr>
          <w:rFonts w:ascii="Arial" w:hAnsi="Arial" w:cs="Arial"/>
          <w:sz w:val="20"/>
          <w:szCs w:val="20"/>
          <w:u w:val="single"/>
        </w:rPr>
        <w:t xml:space="preserve">Sistema UEPS-Ultimas </w:t>
      </w:r>
      <w:r w:rsidRPr="008F0698">
        <w:rPr>
          <w:rFonts w:ascii="Arial" w:hAnsi="Arial" w:cs="Arial"/>
          <w:sz w:val="20"/>
          <w:szCs w:val="20"/>
          <w:u w:val="single"/>
        </w:rPr>
        <w:t>Entradas primeras salidas.</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82BB0CD"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1F2A8649" w14:textId="77777777" w:rsidR="007653AB" w:rsidRPr="003C0BA3" w:rsidRDefault="007653AB" w:rsidP="00CB41C4">
      <w:pPr>
        <w:tabs>
          <w:tab w:val="left" w:leader="underscore" w:pos="9639"/>
        </w:tabs>
        <w:spacing w:after="0" w:line="240" w:lineRule="auto"/>
        <w:jc w:val="both"/>
        <w:rPr>
          <w:rFonts w:cs="Calibri"/>
          <w:b/>
        </w:rPr>
      </w:pPr>
    </w:p>
    <w:p w14:paraId="6113C381" w14:textId="77777777" w:rsidR="007D1E76" w:rsidRPr="003C0BA3" w:rsidRDefault="007D1E76" w:rsidP="00CB41C4">
      <w:pPr>
        <w:tabs>
          <w:tab w:val="left" w:leader="underscore" w:pos="9639"/>
        </w:tabs>
        <w:spacing w:after="0" w:line="240" w:lineRule="auto"/>
        <w:jc w:val="both"/>
        <w:rPr>
          <w:rFonts w:cs="Calibri"/>
        </w:rPr>
      </w:pPr>
      <w:r w:rsidRPr="003C0BA3">
        <w:rPr>
          <w:rFonts w:cs="Calibri"/>
          <w:b/>
        </w:rPr>
        <w:t>f)</w:t>
      </w:r>
      <w:r w:rsidRPr="003C0BA3">
        <w:rPr>
          <w:rFonts w:cs="Calibri"/>
        </w:rPr>
        <w:t xml:space="preserve"> Provisiones: objetivo de su creación, monto y plazo:</w:t>
      </w:r>
    </w:p>
    <w:p w14:paraId="1B93BCE3" w14:textId="51DDAB59" w:rsidR="00CB49A2" w:rsidRPr="003C0BA3" w:rsidRDefault="00CB49A2" w:rsidP="00CB49A2">
      <w:pPr>
        <w:rPr>
          <w:rFonts w:ascii="Arial" w:hAnsi="Arial" w:cs="Arial"/>
          <w:sz w:val="20"/>
          <w:szCs w:val="20"/>
          <w:u w:val="single"/>
        </w:rPr>
      </w:pPr>
      <w:r w:rsidRPr="003C0BA3">
        <w:rPr>
          <w:rFonts w:ascii="Arial" w:hAnsi="Arial" w:cs="Arial"/>
          <w:sz w:val="20"/>
          <w:szCs w:val="20"/>
          <w:u w:val="single"/>
        </w:rPr>
        <w:t>Provisiones de Ejercicios Anteriores (Obra por ejecutar $</w:t>
      </w:r>
      <w:r w:rsidR="005D7D5C" w:rsidRPr="005D7D5C">
        <w:rPr>
          <w:rFonts w:ascii="Arial" w:hAnsi="Arial" w:cs="Arial"/>
          <w:sz w:val="20"/>
          <w:szCs w:val="20"/>
          <w:u w:val="single"/>
        </w:rPr>
        <w:t>27</w:t>
      </w:r>
      <w:r w:rsidR="005D7D5C">
        <w:rPr>
          <w:rFonts w:ascii="Arial" w:hAnsi="Arial" w:cs="Arial"/>
          <w:sz w:val="20"/>
          <w:szCs w:val="20"/>
          <w:u w:val="single"/>
        </w:rPr>
        <w:t>,</w:t>
      </w:r>
      <w:r w:rsidR="005D7D5C" w:rsidRPr="005D7D5C">
        <w:rPr>
          <w:rFonts w:ascii="Arial" w:hAnsi="Arial" w:cs="Arial"/>
          <w:sz w:val="20"/>
          <w:szCs w:val="20"/>
          <w:u w:val="single"/>
        </w:rPr>
        <w:t>820</w:t>
      </w:r>
      <w:r w:rsidR="005D7D5C">
        <w:rPr>
          <w:rFonts w:ascii="Arial" w:hAnsi="Arial" w:cs="Arial"/>
          <w:sz w:val="20"/>
          <w:szCs w:val="20"/>
          <w:u w:val="single"/>
        </w:rPr>
        <w:t>,</w:t>
      </w:r>
      <w:r w:rsidR="005D7D5C" w:rsidRPr="005D7D5C">
        <w:rPr>
          <w:rFonts w:ascii="Arial" w:hAnsi="Arial" w:cs="Arial"/>
          <w:sz w:val="20"/>
          <w:szCs w:val="20"/>
          <w:u w:val="single"/>
        </w:rPr>
        <w:t>587.92</w:t>
      </w:r>
      <w:r w:rsidRPr="003C0BA3">
        <w:rPr>
          <w:rFonts w:ascii="Arial" w:hAnsi="Arial" w:cs="Arial"/>
          <w:sz w:val="20"/>
          <w:szCs w:val="20"/>
          <w:u w:val="single"/>
        </w:rPr>
        <w:t>)</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D6E61E1"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4C613419" w14:textId="733BA8EF" w:rsidR="007D1E76" w:rsidRPr="00E74967" w:rsidRDefault="007D1E76" w:rsidP="00CB41C4">
      <w:pPr>
        <w:tabs>
          <w:tab w:val="left" w:leader="underscore" w:pos="9639"/>
        </w:tabs>
        <w:spacing w:after="0" w:line="240" w:lineRule="auto"/>
        <w:jc w:val="both"/>
        <w:rPr>
          <w:rFonts w:cs="Calibri"/>
        </w:rPr>
      </w:pP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EADD9E4"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23E8D7D5" w:rsidR="007D1E76" w:rsidRDefault="00663833" w:rsidP="00CB41C4">
      <w:pPr>
        <w:tabs>
          <w:tab w:val="left" w:leader="underscore" w:pos="9639"/>
        </w:tabs>
        <w:spacing w:after="0" w:line="240" w:lineRule="auto"/>
        <w:jc w:val="both"/>
        <w:rPr>
          <w:rFonts w:ascii="Arial" w:hAnsi="Arial" w:cs="Arial"/>
          <w:sz w:val="20"/>
          <w:szCs w:val="20"/>
          <w:u w:val="single"/>
        </w:rPr>
      </w:pPr>
      <w:r w:rsidRPr="008F0698">
        <w:rPr>
          <w:rFonts w:ascii="Arial" w:hAnsi="Arial" w:cs="Arial"/>
          <w:sz w:val="20"/>
          <w:szCs w:val="20"/>
          <w:u w:val="single"/>
        </w:rPr>
        <w:t>Existen movimientos generados por reacomodo de cuentas</w:t>
      </w:r>
      <w:r>
        <w:rPr>
          <w:rFonts w:ascii="Arial" w:hAnsi="Arial" w:cs="Arial"/>
          <w:sz w:val="20"/>
          <w:szCs w:val="20"/>
          <w:u w:val="single"/>
        </w:rPr>
        <w:t>.</w:t>
      </w:r>
    </w:p>
    <w:p w14:paraId="4FE915C0" w14:textId="77777777" w:rsidR="00663833" w:rsidRPr="00E74967" w:rsidRDefault="00663833"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4F574CD9" w14:textId="77777777" w:rsidR="00663833" w:rsidRPr="008F0698" w:rsidRDefault="00663833" w:rsidP="00663833">
      <w:pPr>
        <w:rPr>
          <w:rFonts w:ascii="Arial" w:hAnsi="Arial" w:cs="Arial"/>
          <w:sz w:val="20"/>
          <w:szCs w:val="20"/>
          <w:u w:val="single"/>
        </w:rPr>
      </w:pPr>
      <w:r w:rsidRPr="008F0698">
        <w:rPr>
          <w:rFonts w:ascii="Arial" w:hAnsi="Arial" w:cs="Arial"/>
          <w:sz w:val="20"/>
          <w:szCs w:val="20"/>
          <w:u w:val="single"/>
        </w:rPr>
        <w:t xml:space="preserve">Cancelación de servicios no ejecutados, </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7E8CE1E8"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7DC37890"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22EC0EC7" w14:textId="19E560F3" w:rsidR="007D1E76" w:rsidRPr="00E74967" w:rsidRDefault="007D1E76" w:rsidP="00CB41C4">
      <w:pPr>
        <w:tabs>
          <w:tab w:val="left" w:leader="underscore" w:pos="9639"/>
        </w:tabs>
        <w:spacing w:after="0" w:line="240" w:lineRule="auto"/>
        <w:jc w:val="both"/>
        <w:rPr>
          <w:rFonts w:cs="Calibri"/>
        </w:rPr>
      </w:pP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4EF5331C"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508FDC85" w14:textId="77777777" w:rsidR="00663833" w:rsidRDefault="00663833" w:rsidP="00CB41C4">
      <w:pPr>
        <w:tabs>
          <w:tab w:val="left" w:leader="underscore" w:pos="9639"/>
        </w:tabs>
        <w:spacing w:after="0" w:line="240" w:lineRule="auto"/>
        <w:jc w:val="both"/>
        <w:rPr>
          <w:rFonts w:cs="Calibri"/>
          <w:b/>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2FB68A52"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011B6E8C" w14:textId="3A0BA82B" w:rsidR="007D1E76" w:rsidRPr="00E74967" w:rsidRDefault="007D1E76" w:rsidP="00CB41C4">
      <w:pPr>
        <w:tabs>
          <w:tab w:val="left" w:leader="underscore" w:pos="9639"/>
        </w:tabs>
        <w:spacing w:after="0" w:line="240" w:lineRule="auto"/>
        <w:jc w:val="both"/>
        <w:rPr>
          <w:rFonts w:cs="Calibri"/>
        </w:rPr>
      </w:pP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8E53AC4"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87D1B23" w14:textId="77777777" w:rsidR="007653AB" w:rsidRPr="008F0698" w:rsidRDefault="007653AB" w:rsidP="007653AB">
      <w:pPr>
        <w:rPr>
          <w:rFonts w:ascii="Arial" w:hAnsi="Arial" w:cs="Arial"/>
          <w:sz w:val="20"/>
          <w:szCs w:val="20"/>
          <w:u w:val="single"/>
        </w:rPr>
      </w:pPr>
      <w:r w:rsidRPr="008F0698">
        <w:rPr>
          <w:rFonts w:ascii="Arial" w:hAnsi="Arial" w:cs="Arial"/>
          <w:sz w:val="20"/>
          <w:szCs w:val="20"/>
          <w:u w:val="single"/>
        </w:rPr>
        <w:t>Mobiliario y equipo de Oficina, Herramientas-10%, Vehículos, camiones, remolques-25%, Equipo de Cómputo – 30%</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E0BF1A2"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B41C1A0"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14ADCEA6" w14:textId="77777777" w:rsidR="007653AB" w:rsidRDefault="007653AB" w:rsidP="00CB41C4">
      <w:pPr>
        <w:tabs>
          <w:tab w:val="left" w:leader="underscore" w:pos="9639"/>
        </w:tabs>
        <w:spacing w:after="0" w:line="240" w:lineRule="auto"/>
        <w:jc w:val="both"/>
        <w:rPr>
          <w:rFonts w:cs="Calibri"/>
          <w:b/>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4E9CA7E2" w14:textId="258E2491" w:rsidR="007653AB" w:rsidRPr="008F0698" w:rsidRDefault="007653AB" w:rsidP="007653AB">
      <w:pPr>
        <w:rPr>
          <w:rFonts w:ascii="Arial" w:hAnsi="Arial" w:cs="Arial"/>
          <w:sz w:val="20"/>
          <w:szCs w:val="20"/>
          <w:u w:val="single"/>
        </w:rPr>
      </w:pPr>
      <w:r w:rsidRPr="008F0698">
        <w:rPr>
          <w:rFonts w:ascii="Arial" w:hAnsi="Arial" w:cs="Arial"/>
          <w:sz w:val="20"/>
          <w:szCs w:val="20"/>
          <w:u w:val="single"/>
        </w:rPr>
        <w:t>Los intereses es</w:t>
      </w:r>
      <w:r>
        <w:rPr>
          <w:rFonts w:ascii="Arial" w:hAnsi="Arial" w:cs="Arial"/>
          <w:sz w:val="20"/>
          <w:szCs w:val="20"/>
          <w:u w:val="single"/>
        </w:rPr>
        <w:t>tán estables en un promedio de 6</w:t>
      </w:r>
      <w:r w:rsidRPr="008F0698">
        <w:rPr>
          <w:rFonts w:ascii="Arial" w:hAnsi="Arial" w:cs="Arial"/>
          <w:sz w:val="20"/>
          <w:szCs w:val="20"/>
          <w:u w:val="single"/>
        </w:rPr>
        <w:t>% Anual.</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5D337709"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C25097D"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F0D27E9"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65D20F94" w14:textId="73E9E543" w:rsidR="007D1E76" w:rsidRPr="00E74967" w:rsidRDefault="007D1E76" w:rsidP="00CB41C4">
      <w:pPr>
        <w:tabs>
          <w:tab w:val="left" w:leader="underscore" w:pos="9639"/>
        </w:tabs>
        <w:spacing w:after="0" w:line="240" w:lineRule="auto"/>
        <w:jc w:val="both"/>
        <w:rPr>
          <w:rFonts w:cs="Calibri"/>
        </w:rPr>
      </w:pP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3D56C9B" w14:textId="77777777" w:rsidR="002E7EB3" w:rsidRPr="006D67B0" w:rsidRDefault="002E7EB3" w:rsidP="002E7EB3">
      <w:pPr>
        <w:pStyle w:val="Prrafodelista"/>
        <w:ind w:left="0"/>
        <w:jc w:val="both"/>
        <w:rPr>
          <w:rFonts w:ascii="Arial" w:hAnsi="Arial" w:cs="Arial"/>
          <w:sz w:val="20"/>
          <w:szCs w:val="20"/>
          <w:u w:val="single"/>
        </w:rPr>
      </w:pPr>
      <w:r w:rsidRPr="006D67B0">
        <w:rPr>
          <w:rFonts w:ascii="Arial" w:hAnsi="Arial" w:cs="Arial"/>
          <w:sz w:val="20"/>
          <w:szCs w:val="20"/>
          <w:u w:val="single"/>
        </w:rPr>
        <w:t>Lineamientos y Políticas para el uso, mantenimiento y control de los vehículos oficiales, Procedimiento para la recepción, entrega preservación y conservación de materiales en almacén, Procedimiento de infraestructura de oficios, radios y vehículos, Procedimiento de Administración de activos fijos, Procedimiento de inventarios físicos de activo fijo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F53CEE" w:rsidRDefault="007D1E76" w:rsidP="00CB41C4">
      <w:pPr>
        <w:tabs>
          <w:tab w:val="left" w:leader="underscore" w:pos="9639"/>
        </w:tabs>
        <w:spacing w:after="0" w:line="240" w:lineRule="auto"/>
        <w:jc w:val="both"/>
        <w:rPr>
          <w:rFonts w:cs="Calibri"/>
        </w:rPr>
      </w:pPr>
    </w:p>
    <w:p w14:paraId="28597DFB" w14:textId="77777777" w:rsidR="005D7D5C" w:rsidRDefault="007D1E76" w:rsidP="005D7D5C">
      <w:pPr>
        <w:pStyle w:val="Prrafodelista"/>
        <w:numPr>
          <w:ilvl w:val="0"/>
          <w:numId w:val="2"/>
        </w:numPr>
        <w:tabs>
          <w:tab w:val="left" w:leader="underscore" w:pos="9639"/>
        </w:tabs>
        <w:spacing w:after="0" w:line="240" w:lineRule="auto"/>
        <w:jc w:val="both"/>
        <w:rPr>
          <w:rFonts w:cs="Calibri"/>
        </w:rPr>
      </w:pPr>
      <w:r w:rsidRPr="00F53CEE">
        <w:rPr>
          <w:rFonts w:cs="Calibri"/>
        </w:rPr>
        <w:t>Inversiones en valores:</w:t>
      </w:r>
    </w:p>
    <w:p w14:paraId="7B4BA6DA" w14:textId="77777777" w:rsidR="005D7D5C" w:rsidRDefault="005D7D5C" w:rsidP="005D7D5C">
      <w:pPr>
        <w:pStyle w:val="Prrafodelista"/>
        <w:tabs>
          <w:tab w:val="left" w:leader="underscore" w:pos="9639"/>
        </w:tabs>
        <w:spacing w:after="0" w:line="240" w:lineRule="auto"/>
        <w:jc w:val="both"/>
        <w:rPr>
          <w:rFonts w:cs="Calibri"/>
        </w:rPr>
      </w:pPr>
    </w:p>
    <w:p w14:paraId="144F6EFD" w14:textId="62F60CFD" w:rsidR="0083728C" w:rsidRDefault="005D7D5C" w:rsidP="005D7D5C">
      <w:pPr>
        <w:pStyle w:val="Prrafodelista"/>
        <w:tabs>
          <w:tab w:val="left" w:leader="underscore" w:pos="9639"/>
        </w:tabs>
        <w:spacing w:after="0" w:line="240" w:lineRule="auto"/>
        <w:jc w:val="both"/>
        <w:rPr>
          <w:rFonts w:cs="Calibri"/>
        </w:rPr>
      </w:pPr>
      <w:r>
        <w:rPr>
          <w:rFonts w:cs="Calibri"/>
        </w:rPr>
        <w:t xml:space="preserve"> </w:t>
      </w:r>
      <w:r w:rsidRPr="005D7D5C">
        <w:rPr>
          <w:noProof/>
          <w:lang w:eastAsia="es-MX"/>
        </w:rPr>
        <w:drawing>
          <wp:inline distT="0" distB="0" distL="0" distR="0" wp14:anchorId="20A96739" wp14:editId="5E11910A">
            <wp:extent cx="5060315" cy="1268095"/>
            <wp:effectExtent l="0" t="0" r="6985"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0315" cy="1268095"/>
                    </a:xfrm>
                    <a:prstGeom prst="rect">
                      <a:avLst/>
                    </a:prstGeom>
                    <a:noFill/>
                    <a:ln>
                      <a:noFill/>
                    </a:ln>
                  </pic:spPr>
                </pic:pic>
              </a:graphicData>
            </a:graphic>
          </wp:inline>
        </w:drawing>
      </w:r>
    </w:p>
    <w:p w14:paraId="36A2668D" w14:textId="1FC417B1" w:rsidR="00C66CFA" w:rsidRPr="0083728C" w:rsidRDefault="0083728C" w:rsidP="0083728C">
      <w:pPr>
        <w:tabs>
          <w:tab w:val="left" w:leader="underscore" w:pos="9639"/>
        </w:tabs>
        <w:spacing w:after="0" w:line="240" w:lineRule="auto"/>
        <w:jc w:val="both"/>
        <w:rPr>
          <w:rFonts w:cs="Calibri"/>
        </w:rPr>
      </w:pPr>
      <w:r w:rsidRPr="0083728C">
        <w:rPr>
          <w:rFonts w:cs="Calibri"/>
        </w:rPr>
        <w:t xml:space="preserve"> </w:t>
      </w:r>
    </w:p>
    <w:p w14:paraId="7F294F69" w14:textId="51A15E10" w:rsidR="007D1E76" w:rsidRPr="00C66CFA" w:rsidRDefault="00C66CFA" w:rsidP="00C66CFA">
      <w:pPr>
        <w:tabs>
          <w:tab w:val="left" w:leader="underscore" w:pos="9639"/>
        </w:tabs>
        <w:spacing w:after="0" w:line="240" w:lineRule="auto"/>
        <w:ind w:left="360"/>
        <w:jc w:val="both"/>
        <w:rPr>
          <w:rFonts w:cs="Calibri"/>
        </w:rPr>
      </w:pPr>
      <w:r w:rsidRPr="00C66CFA">
        <w:rPr>
          <w:rFonts w:cs="Calibri"/>
          <w:b/>
        </w:rPr>
        <w:t xml:space="preserve"> </w:t>
      </w:r>
      <w:r w:rsidR="007D1E76" w:rsidRPr="00C66CFA">
        <w:rPr>
          <w:rFonts w:cs="Calibri"/>
          <w:b/>
        </w:rPr>
        <w:t>b)</w:t>
      </w:r>
      <w:r w:rsidR="007D1E76" w:rsidRPr="00C66CFA">
        <w:rPr>
          <w:rFonts w:cs="Calibri"/>
        </w:rPr>
        <w:t xml:space="preserve"> Patrimonio de Organismos descentralizados de Control Presupuestario Indirecto:</w:t>
      </w:r>
    </w:p>
    <w:p w14:paraId="524B0D17"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24421515"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lastRenderedPageBreak/>
        <w:t>“Esta nota no le aplica al ente público”</w:t>
      </w:r>
      <w:r>
        <w:rPr>
          <w:rFonts w:asciiTheme="minorHAnsi" w:hAnsiTheme="minorHAnsi" w:cstheme="minorHAnsi"/>
          <w:sz w:val="24"/>
          <w:szCs w:val="24"/>
          <w:u w:val="single"/>
        </w:rPr>
        <w:t xml:space="preserve"> no realizamos movimientos que los afecten.</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62F856C"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81E3BF4"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AEED08F"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36C404BF" w14:textId="77777777" w:rsidR="002E7EB3" w:rsidRDefault="002E7EB3" w:rsidP="00CB41C4">
      <w:pPr>
        <w:tabs>
          <w:tab w:val="left" w:leader="underscore" w:pos="9639"/>
        </w:tabs>
        <w:spacing w:after="0" w:line="240" w:lineRule="auto"/>
        <w:jc w:val="both"/>
        <w:rPr>
          <w:rFonts w:cs="Calibri"/>
          <w:b/>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18F6E489"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1F0D436C" w14:textId="77777777" w:rsidR="00C2637B" w:rsidRPr="00C2637B" w:rsidRDefault="00C2637B" w:rsidP="00C2637B">
      <w:pPr>
        <w:jc w:val="both"/>
        <w:rPr>
          <w:rFonts w:ascii="Arial" w:hAnsi="Arial" w:cs="Arial"/>
          <w:b/>
          <w:bCs/>
          <w:sz w:val="20"/>
          <w:szCs w:val="20"/>
        </w:rPr>
      </w:pPr>
      <w:bookmarkStart w:id="10" w:name="_Toc508279631"/>
      <w:r w:rsidRPr="00C2637B">
        <w:rPr>
          <w:rFonts w:ascii="Arial" w:hAnsi="Arial" w:cs="Arial"/>
          <w:b/>
          <w:bCs/>
          <w:sz w:val="20"/>
          <w:szCs w:val="20"/>
        </w:rPr>
        <w:t xml:space="preserve">10. Reporte de la Recaudación:                       </w:t>
      </w:r>
    </w:p>
    <w:p w14:paraId="5AE04A45" w14:textId="77777777" w:rsidR="00C2637B" w:rsidRPr="00C2637B" w:rsidRDefault="00C2637B" w:rsidP="00C2637B">
      <w:pPr>
        <w:jc w:val="both"/>
        <w:rPr>
          <w:rFonts w:ascii="Arial" w:hAnsi="Arial" w:cs="Arial"/>
          <w:sz w:val="20"/>
          <w:szCs w:val="20"/>
        </w:rPr>
      </w:pPr>
      <w:r w:rsidRPr="00C2637B">
        <w:rPr>
          <w:rFonts w:ascii="Arial" w:hAnsi="Arial" w:cs="Arial"/>
          <w:sz w:val="20"/>
          <w:szCs w:val="20"/>
        </w:rPr>
        <w:t>a) Análisis del comportamiento de la recaudación correspondiente al ente público o cualquier tipo de ingreso, de forma separada los ingresos locales de los federales:</w:t>
      </w:r>
    </w:p>
    <w:p w14:paraId="698E1035" w14:textId="77777777" w:rsidR="00C2637B" w:rsidRPr="00C2637B" w:rsidRDefault="00C2637B" w:rsidP="00C2637B">
      <w:pPr>
        <w:jc w:val="both"/>
        <w:rPr>
          <w:rFonts w:ascii="Arial" w:hAnsi="Arial" w:cs="Arial"/>
          <w:b/>
          <w:bCs/>
          <w:sz w:val="20"/>
          <w:szCs w:val="20"/>
          <w:u w:val="single"/>
        </w:rPr>
      </w:pPr>
      <w:r w:rsidRPr="00C2637B">
        <w:rPr>
          <w:rFonts w:ascii="Arial" w:hAnsi="Arial" w:cs="Arial"/>
          <w:sz w:val="20"/>
          <w:szCs w:val="20"/>
          <w:u w:val="single"/>
        </w:rPr>
        <w:t xml:space="preserve">En el mes de </w:t>
      </w:r>
      <w:r w:rsidRPr="00C2637B">
        <w:rPr>
          <w:rFonts w:ascii="Arial" w:hAnsi="Arial" w:cs="Arial"/>
          <w:b/>
          <w:bCs/>
          <w:sz w:val="20"/>
          <w:szCs w:val="20"/>
          <w:u w:val="single"/>
        </w:rPr>
        <w:t>Junio del 2019</w:t>
      </w:r>
      <w:r w:rsidRPr="00C2637B">
        <w:rPr>
          <w:rFonts w:ascii="Arial" w:hAnsi="Arial" w:cs="Arial"/>
          <w:sz w:val="20"/>
          <w:szCs w:val="20"/>
          <w:u w:val="single"/>
        </w:rPr>
        <w:t xml:space="preserve"> se obtuvo una recaudación acumulada de </w:t>
      </w:r>
      <w:r w:rsidRPr="00C2637B">
        <w:rPr>
          <w:rFonts w:ascii="Arial" w:hAnsi="Arial" w:cs="Arial"/>
          <w:b/>
          <w:bCs/>
          <w:sz w:val="20"/>
          <w:szCs w:val="20"/>
          <w:u w:val="single"/>
        </w:rPr>
        <w:t>$160´310,319.90</w:t>
      </w:r>
      <w:r w:rsidRPr="00C2637B">
        <w:rPr>
          <w:rFonts w:ascii="Arial" w:hAnsi="Arial" w:cs="Arial"/>
          <w:sz w:val="20"/>
          <w:szCs w:val="20"/>
          <w:u w:val="single"/>
        </w:rPr>
        <w:t xml:space="preserve"> (</w:t>
      </w:r>
      <w:r w:rsidRPr="00C2637B">
        <w:rPr>
          <w:rFonts w:ascii="Arial" w:hAnsi="Arial" w:cs="Arial"/>
          <w:b/>
          <w:bCs/>
          <w:sz w:val="20"/>
          <w:szCs w:val="20"/>
          <w:u w:val="single"/>
        </w:rPr>
        <w:t>100.54%</w:t>
      </w:r>
      <w:r w:rsidRPr="00C2637B">
        <w:rPr>
          <w:rFonts w:ascii="Arial" w:hAnsi="Arial" w:cs="Arial"/>
          <w:sz w:val="20"/>
          <w:szCs w:val="20"/>
          <w:u w:val="single"/>
        </w:rPr>
        <w:t xml:space="preserve"> de lo presupuestado) por el cobro de los servicios de agua potable, alcantarillado y saneamiento correspondiente al mes de referencia.</w:t>
      </w:r>
    </w:p>
    <w:p w14:paraId="0A10A49D" w14:textId="77777777" w:rsidR="00C2637B" w:rsidRPr="00C2637B" w:rsidRDefault="00C2637B" w:rsidP="00C2637B">
      <w:pPr>
        <w:jc w:val="both"/>
        <w:rPr>
          <w:rFonts w:ascii="Arial" w:hAnsi="Arial" w:cs="Arial"/>
          <w:sz w:val="20"/>
          <w:szCs w:val="20"/>
        </w:rPr>
      </w:pPr>
      <w:r w:rsidRPr="00C2637B">
        <w:rPr>
          <w:rFonts w:ascii="Arial" w:hAnsi="Arial" w:cs="Arial"/>
          <w:sz w:val="20"/>
          <w:szCs w:val="20"/>
        </w:rPr>
        <w:t>b) Proyección de la recaudación e ingresos en el mediano plazo:</w:t>
      </w:r>
    </w:p>
    <w:p w14:paraId="3B87C8F8" w14:textId="77777777" w:rsidR="00C2637B" w:rsidRDefault="00C2637B" w:rsidP="00C2637B">
      <w:pPr>
        <w:jc w:val="both"/>
        <w:rPr>
          <w:sz w:val="24"/>
          <w:szCs w:val="24"/>
          <w:lang w:val="es-ES"/>
        </w:rPr>
      </w:pPr>
      <w:r w:rsidRPr="00C2637B">
        <w:rPr>
          <w:rFonts w:ascii="Arial" w:hAnsi="Arial" w:cs="Arial"/>
          <w:sz w:val="20"/>
          <w:szCs w:val="20"/>
          <w:u w:val="single"/>
        </w:rPr>
        <w:t xml:space="preserve">Se proyecta recaudar un total de </w:t>
      </w:r>
      <w:r w:rsidRPr="00C2637B">
        <w:rPr>
          <w:rFonts w:ascii="Arial" w:hAnsi="Arial" w:cs="Arial"/>
          <w:b/>
          <w:bCs/>
          <w:sz w:val="20"/>
          <w:szCs w:val="20"/>
          <w:u w:val="single"/>
        </w:rPr>
        <w:t>$479’341,075</w:t>
      </w:r>
      <w:r w:rsidRPr="00C2637B">
        <w:rPr>
          <w:rFonts w:ascii="Arial" w:hAnsi="Arial" w:cs="Arial"/>
          <w:sz w:val="20"/>
          <w:szCs w:val="20"/>
          <w:u w:val="single"/>
        </w:rPr>
        <w:t xml:space="preserve"> en todo el año por el servicio de agua potable y alcantarillado y cobro por los demás servicios que prestamos como son: cobro de derechos, contratos, instalaciones de toma y de descargas y la recuperación de rezago por los adeudos de los servicios de agua potable y alcantarillado. Al cierre de </w:t>
      </w:r>
      <w:r w:rsidRPr="00C2637B">
        <w:rPr>
          <w:rFonts w:ascii="Arial" w:hAnsi="Arial" w:cs="Arial"/>
          <w:b/>
          <w:bCs/>
          <w:sz w:val="20"/>
          <w:szCs w:val="20"/>
          <w:u w:val="single"/>
        </w:rPr>
        <w:t>Junio de 2019</w:t>
      </w:r>
      <w:r w:rsidRPr="00C2637B">
        <w:rPr>
          <w:rFonts w:ascii="Arial" w:hAnsi="Arial" w:cs="Arial"/>
          <w:sz w:val="20"/>
          <w:szCs w:val="20"/>
          <w:u w:val="single"/>
        </w:rPr>
        <w:t>, se</w:t>
      </w:r>
      <w:r>
        <w:rPr>
          <w:rFonts w:ascii="Arial" w:hAnsi="Arial" w:cs="Arial"/>
          <w:sz w:val="20"/>
          <w:szCs w:val="20"/>
          <w:u w:val="single"/>
        </w:rPr>
        <w:t xml:space="preserve"> logró recaudar un total de </w:t>
      </w:r>
      <w:r>
        <w:rPr>
          <w:rFonts w:ascii="Arial" w:hAnsi="Arial" w:cs="Arial"/>
          <w:b/>
          <w:bCs/>
          <w:sz w:val="20"/>
          <w:szCs w:val="20"/>
          <w:u w:val="single"/>
        </w:rPr>
        <w:t>$275´027,150.94</w:t>
      </w:r>
      <w:r>
        <w:rPr>
          <w:rFonts w:ascii="Arial" w:hAnsi="Arial" w:cs="Arial"/>
          <w:sz w:val="20"/>
          <w:szCs w:val="20"/>
          <w:u w:val="single"/>
        </w:rPr>
        <w:t xml:space="preserve">. </w:t>
      </w:r>
      <w:r>
        <w:rPr>
          <w:rFonts w:ascii="Arial" w:hAnsi="Arial" w:cs="Arial"/>
          <w:sz w:val="20"/>
          <w:szCs w:val="20"/>
          <w:u w:val="single"/>
          <w:lang w:val="es-ES"/>
        </w:rPr>
        <w:t xml:space="preserve">Lo anterior representa un </w:t>
      </w:r>
      <w:r>
        <w:rPr>
          <w:rFonts w:ascii="Arial" w:hAnsi="Arial" w:cs="Arial"/>
          <w:b/>
          <w:bCs/>
          <w:sz w:val="20"/>
          <w:szCs w:val="20"/>
          <w:u w:val="single"/>
          <w:lang w:val="es-ES"/>
        </w:rPr>
        <w:t>57.38%</w:t>
      </w:r>
      <w:r>
        <w:rPr>
          <w:rFonts w:ascii="Arial" w:hAnsi="Arial" w:cs="Arial"/>
          <w:sz w:val="20"/>
          <w:szCs w:val="20"/>
          <w:u w:val="single"/>
          <w:lang w:val="es-ES"/>
        </w:rPr>
        <w:t xml:space="preserve"> del total presupuestado.</w:t>
      </w:r>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C8ED635" w:rsidR="007D1E76" w:rsidRPr="0083728C" w:rsidRDefault="002E7EB3" w:rsidP="00CB41C4">
      <w:pPr>
        <w:tabs>
          <w:tab w:val="left" w:leader="underscore" w:pos="9639"/>
        </w:tabs>
        <w:spacing w:after="0" w:line="240" w:lineRule="auto"/>
        <w:jc w:val="both"/>
        <w:rPr>
          <w:rFonts w:cs="Calibri"/>
          <w:u w:val="single"/>
        </w:rPr>
      </w:pPr>
      <w:r w:rsidRPr="0083728C">
        <w:rPr>
          <w:rFonts w:cs="Calibri"/>
          <w:u w:val="single"/>
        </w:rPr>
        <w:t>NO SE CUENTA CON DEUDA PUBLICA</w:t>
      </w:r>
    </w:p>
    <w:p w14:paraId="6536A618" w14:textId="77777777" w:rsidR="002E7EB3" w:rsidRPr="00E74967" w:rsidRDefault="002E7EB3"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lastRenderedPageBreak/>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02EAB0" w14:textId="77777777" w:rsidR="007D1E76" w:rsidRPr="00E74967" w:rsidRDefault="007D1E76" w:rsidP="00CB41C4">
      <w:pPr>
        <w:tabs>
          <w:tab w:val="left" w:leader="underscore" w:pos="9639"/>
        </w:tabs>
        <w:spacing w:after="0" w:line="240" w:lineRule="auto"/>
        <w:jc w:val="both"/>
        <w:rPr>
          <w:rFonts w:cs="Calibri"/>
        </w:rPr>
      </w:pPr>
    </w:p>
    <w:p w14:paraId="6E6D20DC"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7CEF4F48" w14:textId="1138BB87" w:rsidR="002E7EB3" w:rsidRPr="00E5617B" w:rsidRDefault="002E7EB3" w:rsidP="002E7EB3">
      <w:pPr>
        <w:jc w:val="both"/>
        <w:rPr>
          <w:rFonts w:ascii="Arial" w:hAnsi="Arial" w:cs="Arial"/>
          <w:sz w:val="20"/>
          <w:szCs w:val="20"/>
          <w:u w:val="single"/>
        </w:rPr>
      </w:pPr>
      <w:r w:rsidRPr="008F0698">
        <w:rPr>
          <w:rFonts w:ascii="Arial" w:hAnsi="Arial" w:cs="Arial"/>
          <w:sz w:val="20"/>
          <w:szCs w:val="20"/>
          <w:u w:val="single"/>
        </w:rPr>
        <w:t>Lineamientos de Austeridad, Racionalidad y Disciplina Presupuestal para el Ejercicio 201</w:t>
      </w:r>
      <w:r w:rsidR="0056749C">
        <w:rPr>
          <w:rFonts w:ascii="Arial" w:hAnsi="Arial" w:cs="Arial"/>
          <w:sz w:val="20"/>
          <w:szCs w:val="20"/>
          <w:u w:val="single"/>
        </w:rPr>
        <w:t>9</w:t>
      </w:r>
      <w:r w:rsidRPr="008F0698">
        <w:rPr>
          <w:rFonts w:ascii="Arial" w:hAnsi="Arial" w:cs="Arial"/>
          <w:sz w:val="20"/>
          <w:szCs w:val="20"/>
          <w:u w:val="single"/>
        </w:rPr>
        <w:t xml:space="preserve">, </w:t>
      </w:r>
      <w:r w:rsidRPr="00E5617B">
        <w:rPr>
          <w:rFonts w:ascii="Arial" w:hAnsi="Arial" w:cs="Arial"/>
          <w:sz w:val="20"/>
          <w:szCs w:val="20"/>
          <w:u w:val="single"/>
        </w:rPr>
        <w:t xml:space="preserve">Reglamento Interior de Trabajo, Contrato Colectivo de Trabajo, Lineamientos Generales para el Trato a los empleados de Confianza, Política de Calidad. </w:t>
      </w: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D757EA" w14:textId="226193CA" w:rsidR="007D1E76" w:rsidRPr="002E7EB3" w:rsidRDefault="002E7EB3" w:rsidP="00CB41C4">
      <w:pPr>
        <w:tabs>
          <w:tab w:val="left" w:leader="underscore" w:pos="9639"/>
        </w:tabs>
        <w:spacing w:after="0" w:line="240" w:lineRule="auto"/>
        <w:jc w:val="both"/>
        <w:rPr>
          <w:rFonts w:cs="Calibri"/>
          <w:u w:val="single"/>
        </w:rPr>
      </w:pPr>
      <w:r w:rsidRPr="002E7EB3">
        <w:rPr>
          <w:rFonts w:cs="Calibri"/>
          <w:u w:val="single"/>
        </w:rPr>
        <w:t xml:space="preserve">Se realizan lo manifestado en el archivo </w:t>
      </w:r>
      <w:r w:rsidR="0056749C">
        <w:rPr>
          <w:rFonts w:ascii="Century Gothic" w:eastAsia="Times New Roman" w:hAnsi="Century Gothic" w:cs="Arial"/>
          <w:color w:val="000000"/>
          <w:sz w:val="20"/>
          <w:szCs w:val="20"/>
          <w:u w:val="single"/>
          <w:lang w:eastAsia="es-MX"/>
        </w:rPr>
        <w:t>0333_IR_19</w:t>
      </w:r>
      <w:r w:rsidRPr="002E7EB3">
        <w:rPr>
          <w:rFonts w:ascii="Century Gothic" w:eastAsia="Times New Roman" w:hAnsi="Century Gothic" w:cs="Arial"/>
          <w:color w:val="000000"/>
          <w:sz w:val="20"/>
          <w:szCs w:val="20"/>
          <w:u w:val="single"/>
          <w:lang w:eastAsia="es-MX"/>
        </w:rPr>
        <w:t>01_MCYA_AWA- Indicadores de Resultados</w:t>
      </w:r>
    </w:p>
    <w:p w14:paraId="795495BA" w14:textId="77777777" w:rsidR="007D1E76" w:rsidRPr="002E7EB3" w:rsidRDefault="007D1E76" w:rsidP="00CB41C4">
      <w:pPr>
        <w:tabs>
          <w:tab w:val="left" w:leader="underscore" w:pos="9639"/>
        </w:tabs>
        <w:spacing w:after="0" w:line="240" w:lineRule="auto"/>
        <w:jc w:val="both"/>
        <w:rPr>
          <w:rFonts w:cs="Calibri"/>
          <w:u w:val="single"/>
        </w:rPr>
      </w:pPr>
    </w:p>
    <w:p w14:paraId="63E2F6C6" w14:textId="77777777" w:rsidR="002E7EB3" w:rsidRPr="00E74967" w:rsidRDefault="002E7EB3"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35FB20B0" w14:textId="77777777" w:rsidR="0083728C" w:rsidRPr="00E74967" w:rsidRDefault="0083728C" w:rsidP="00CB41C4">
      <w:pPr>
        <w:tabs>
          <w:tab w:val="left" w:leader="underscore" w:pos="9639"/>
        </w:tabs>
        <w:spacing w:after="0" w:line="240" w:lineRule="auto"/>
        <w:jc w:val="both"/>
        <w:rPr>
          <w:rFonts w:cs="Calibri"/>
        </w:rPr>
      </w:pPr>
    </w:p>
    <w:p w14:paraId="33A52422" w14:textId="4607D820" w:rsidR="0083728C" w:rsidRPr="007653AB" w:rsidRDefault="0083728C" w:rsidP="0083728C">
      <w:pPr>
        <w:tabs>
          <w:tab w:val="left" w:leader="underscore" w:pos="9639"/>
        </w:tabs>
        <w:spacing w:after="0" w:line="240" w:lineRule="auto"/>
        <w:jc w:val="both"/>
        <w:rPr>
          <w:rFonts w:asciiTheme="minorHAnsi" w:hAnsiTheme="minorHAnsi" w:cstheme="minorHAnsi"/>
          <w:sz w:val="24"/>
          <w:szCs w:val="24"/>
          <w:u w:val="single"/>
        </w:rPr>
      </w:pPr>
      <w:r>
        <w:rPr>
          <w:rFonts w:asciiTheme="minorHAnsi" w:hAnsiTheme="minorHAnsi" w:cstheme="minorHAnsi"/>
          <w:sz w:val="24"/>
          <w:szCs w:val="24"/>
          <w:u w:val="single"/>
        </w:rPr>
        <w:t>No realizamos movimientos que los afecten.</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15C539A" w:rsidR="007D1E76" w:rsidRDefault="0083728C" w:rsidP="00CB41C4">
      <w:pPr>
        <w:tabs>
          <w:tab w:val="left" w:leader="underscore" w:pos="9639"/>
        </w:tabs>
        <w:spacing w:after="0" w:line="240" w:lineRule="auto"/>
        <w:jc w:val="both"/>
        <w:rPr>
          <w:rFonts w:asciiTheme="minorHAnsi" w:hAnsiTheme="minorHAnsi" w:cstheme="minorHAnsi"/>
          <w:sz w:val="24"/>
          <w:szCs w:val="24"/>
          <w:u w:val="single"/>
        </w:rPr>
      </w:pPr>
      <w:r>
        <w:rPr>
          <w:rFonts w:asciiTheme="minorHAnsi" w:hAnsiTheme="minorHAnsi" w:cstheme="minorHAnsi"/>
          <w:sz w:val="24"/>
          <w:szCs w:val="24"/>
          <w:u w:val="single"/>
        </w:rPr>
        <w:t>No realizamos movimientos que los afecten.</w:t>
      </w:r>
    </w:p>
    <w:p w14:paraId="7E003FA4" w14:textId="77777777" w:rsidR="0083728C" w:rsidRPr="00E74967" w:rsidRDefault="0083728C"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debe establecer por escrito que no existen partes relacionadas que pudieran ejercer influencia significativa sobre la toma de decisiones financieras y operativas:</w:t>
      </w:r>
    </w:p>
    <w:p w14:paraId="51C8D668" w14:textId="77777777" w:rsidR="00EA7959" w:rsidRPr="007653AB" w:rsidRDefault="00EA7959" w:rsidP="00EA7959">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7"/>
      <w:footerReference w:type="default" r:id="rId18"/>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BDBFF" w14:textId="77777777" w:rsidR="004D7EAD" w:rsidRDefault="004D7EAD" w:rsidP="00E00323">
      <w:pPr>
        <w:spacing w:after="0" w:line="240" w:lineRule="auto"/>
      </w:pPr>
      <w:r>
        <w:separator/>
      </w:r>
    </w:p>
  </w:endnote>
  <w:endnote w:type="continuationSeparator" w:id="0">
    <w:p w14:paraId="70A614EA" w14:textId="77777777" w:rsidR="004D7EAD" w:rsidRDefault="004D7EA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3C0BA3" w:rsidRDefault="003C0BA3">
        <w:pPr>
          <w:pStyle w:val="Piedepgina"/>
          <w:jc w:val="right"/>
        </w:pPr>
        <w:r>
          <w:fldChar w:fldCharType="begin"/>
        </w:r>
        <w:r>
          <w:instrText>PAGE   \* MERGEFORMAT</w:instrText>
        </w:r>
        <w:r>
          <w:fldChar w:fldCharType="separate"/>
        </w:r>
        <w:r w:rsidR="00C2637B" w:rsidRPr="00C2637B">
          <w:rPr>
            <w:noProof/>
            <w:lang w:val="es-ES"/>
          </w:rPr>
          <w:t>13</w:t>
        </w:r>
        <w:r>
          <w:fldChar w:fldCharType="end"/>
        </w:r>
      </w:p>
    </w:sdtContent>
  </w:sdt>
  <w:p w14:paraId="37983FFD" w14:textId="77777777" w:rsidR="003C0BA3" w:rsidRDefault="003C0B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5DBBE" w14:textId="77777777" w:rsidR="004D7EAD" w:rsidRDefault="004D7EAD" w:rsidP="00E00323">
      <w:pPr>
        <w:spacing w:after="0" w:line="240" w:lineRule="auto"/>
      </w:pPr>
      <w:r>
        <w:separator/>
      </w:r>
    </w:p>
  </w:footnote>
  <w:footnote w:type="continuationSeparator" w:id="0">
    <w:p w14:paraId="781674DC" w14:textId="77777777" w:rsidR="004D7EAD" w:rsidRDefault="004D7EAD"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584F643E" w:rsidR="003C0BA3" w:rsidRDefault="003C0BA3" w:rsidP="00A4610E">
    <w:pPr>
      <w:pStyle w:val="Encabezado"/>
      <w:spacing w:after="0" w:line="240" w:lineRule="auto"/>
      <w:jc w:val="center"/>
    </w:pPr>
    <w:r>
      <w:t>JUNTA MUNICIPAL DE AGUA POTABLE Y ALCANTARILLADO DE CELAYA, GTO.</w:t>
    </w:r>
  </w:p>
  <w:p w14:paraId="651A4C4F" w14:textId="7299BDDD" w:rsidR="003C0BA3" w:rsidRDefault="003C0BA3" w:rsidP="005D7D5C">
    <w:pPr>
      <w:pStyle w:val="Encabezado"/>
      <w:spacing w:after="0" w:line="240" w:lineRule="auto"/>
      <w:jc w:val="center"/>
    </w:pPr>
    <w:r w:rsidRPr="00A4610E">
      <w:t>CORRESPONDI</w:t>
    </w:r>
    <w:r>
      <w:t>ENTES AL 3</w:t>
    </w:r>
    <w:r w:rsidR="005D7D5C">
      <w:t>0 DE JUNI</w:t>
    </w:r>
    <w:r>
      <w:t>O DE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01FBE"/>
    <w:multiLevelType w:val="hybridMultilevel"/>
    <w:tmpl w:val="FCB66FDE"/>
    <w:lvl w:ilvl="0" w:tplc="3D18361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40D4F"/>
    <w:rsid w:val="00084EAE"/>
    <w:rsid w:val="00091CE6"/>
    <w:rsid w:val="000B7810"/>
    <w:rsid w:val="000C3365"/>
    <w:rsid w:val="0012405A"/>
    <w:rsid w:val="00154BA3"/>
    <w:rsid w:val="00191035"/>
    <w:rsid w:val="001973A2"/>
    <w:rsid w:val="001C75F2"/>
    <w:rsid w:val="001D2063"/>
    <w:rsid w:val="001D43E9"/>
    <w:rsid w:val="001F1242"/>
    <w:rsid w:val="002E7EB3"/>
    <w:rsid w:val="003453CA"/>
    <w:rsid w:val="003C0BA3"/>
    <w:rsid w:val="00414873"/>
    <w:rsid w:val="00435A87"/>
    <w:rsid w:val="00436C88"/>
    <w:rsid w:val="004A58C8"/>
    <w:rsid w:val="004D7EAD"/>
    <w:rsid w:val="0054701E"/>
    <w:rsid w:val="0056749C"/>
    <w:rsid w:val="005B664F"/>
    <w:rsid w:val="005D3E43"/>
    <w:rsid w:val="005D7D5C"/>
    <w:rsid w:val="005E231E"/>
    <w:rsid w:val="00657009"/>
    <w:rsid w:val="00663833"/>
    <w:rsid w:val="00681C79"/>
    <w:rsid w:val="006E0A86"/>
    <w:rsid w:val="007359DA"/>
    <w:rsid w:val="007610BC"/>
    <w:rsid w:val="007653AB"/>
    <w:rsid w:val="007714AB"/>
    <w:rsid w:val="007D1E76"/>
    <w:rsid w:val="007D4484"/>
    <w:rsid w:val="007F73F3"/>
    <w:rsid w:val="0083728C"/>
    <w:rsid w:val="0086459F"/>
    <w:rsid w:val="008A41BD"/>
    <w:rsid w:val="008C3BB8"/>
    <w:rsid w:val="008E076C"/>
    <w:rsid w:val="009019D9"/>
    <w:rsid w:val="0092765C"/>
    <w:rsid w:val="00A4610E"/>
    <w:rsid w:val="00A730E0"/>
    <w:rsid w:val="00A84D75"/>
    <w:rsid w:val="00AA41E5"/>
    <w:rsid w:val="00AB722B"/>
    <w:rsid w:val="00AE1F6A"/>
    <w:rsid w:val="00B84C93"/>
    <w:rsid w:val="00B864D4"/>
    <w:rsid w:val="00BE16D0"/>
    <w:rsid w:val="00C043A8"/>
    <w:rsid w:val="00C2637B"/>
    <w:rsid w:val="00C66CFA"/>
    <w:rsid w:val="00C97E1E"/>
    <w:rsid w:val="00CB41C4"/>
    <w:rsid w:val="00CB49A2"/>
    <w:rsid w:val="00CF1316"/>
    <w:rsid w:val="00D13C44"/>
    <w:rsid w:val="00D975B1"/>
    <w:rsid w:val="00DD206B"/>
    <w:rsid w:val="00DE11F9"/>
    <w:rsid w:val="00E00323"/>
    <w:rsid w:val="00E74967"/>
    <w:rsid w:val="00EA37F5"/>
    <w:rsid w:val="00EA7915"/>
    <w:rsid w:val="00EA7959"/>
    <w:rsid w:val="00F46719"/>
    <w:rsid w:val="00F53CEE"/>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1547DA28"/>
  <w15:docId w15:val="{922E56EE-535D-49F5-9660-08E7EA40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extoindependiente">
    <w:name w:val="Body Text"/>
    <w:basedOn w:val="Normal"/>
    <w:link w:val="TextoindependienteCar"/>
    <w:rsid w:val="008A41BD"/>
    <w:pPr>
      <w:autoSpaceDE w:val="0"/>
      <w:autoSpaceDN w:val="0"/>
      <w:adjustRightInd w:val="0"/>
      <w:spacing w:after="0" w:line="240" w:lineRule="auto"/>
      <w:jc w:val="both"/>
    </w:pPr>
    <w:rPr>
      <w:rFonts w:ascii="Helvetica" w:eastAsia="Times New Roman" w:hAnsi="Helvetica" w:cs="Helvetica"/>
      <w:color w:val="000000"/>
      <w:sz w:val="24"/>
      <w:szCs w:val="24"/>
      <w:lang w:val="es-ES" w:eastAsia="es-ES"/>
    </w:rPr>
  </w:style>
  <w:style w:type="character" w:customStyle="1" w:styleId="TextoindependienteCar">
    <w:name w:val="Texto independiente Car"/>
    <w:basedOn w:val="Fuentedeprrafopredeter"/>
    <w:link w:val="Textoindependiente"/>
    <w:rsid w:val="008A41BD"/>
    <w:rPr>
      <w:rFonts w:ascii="Helvetica" w:eastAsia="Times New Roman" w:hAnsi="Helvetica" w:cs="Helvetica"/>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904857">
      <w:bodyDiv w:val="1"/>
      <w:marLeft w:val="0"/>
      <w:marRight w:val="0"/>
      <w:marTop w:val="0"/>
      <w:marBottom w:val="0"/>
      <w:divBdr>
        <w:top w:val="none" w:sz="0" w:space="0" w:color="auto"/>
        <w:left w:val="none" w:sz="0" w:space="0" w:color="auto"/>
        <w:bottom w:val="none" w:sz="0" w:space="0" w:color="auto"/>
        <w:right w:val="none" w:sz="0" w:space="0" w:color="auto"/>
      </w:divBdr>
    </w:div>
    <w:div w:id="326061584">
      <w:bodyDiv w:val="1"/>
      <w:marLeft w:val="0"/>
      <w:marRight w:val="0"/>
      <w:marTop w:val="0"/>
      <w:marBottom w:val="0"/>
      <w:divBdr>
        <w:top w:val="none" w:sz="0" w:space="0" w:color="auto"/>
        <w:left w:val="none" w:sz="0" w:space="0" w:color="auto"/>
        <w:bottom w:val="none" w:sz="0" w:space="0" w:color="auto"/>
        <w:right w:val="none" w:sz="0" w:space="0" w:color="auto"/>
      </w:divBdr>
    </w:div>
    <w:div w:id="417675919">
      <w:bodyDiv w:val="1"/>
      <w:marLeft w:val="0"/>
      <w:marRight w:val="0"/>
      <w:marTop w:val="0"/>
      <w:marBottom w:val="0"/>
      <w:divBdr>
        <w:top w:val="none" w:sz="0" w:space="0" w:color="auto"/>
        <w:left w:val="none" w:sz="0" w:space="0" w:color="auto"/>
        <w:bottom w:val="none" w:sz="0" w:space="0" w:color="auto"/>
        <w:right w:val="none" w:sz="0" w:space="0" w:color="auto"/>
      </w:divBdr>
    </w:div>
    <w:div w:id="491415070">
      <w:bodyDiv w:val="1"/>
      <w:marLeft w:val="0"/>
      <w:marRight w:val="0"/>
      <w:marTop w:val="0"/>
      <w:marBottom w:val="0"/>
      <w:divBdr>
        <w:top w:val="none" w:sz="0" w:space="0" w:color="auto"/>
        <w:left w:val="none" w:sz="0" w:space="0" w:color="auto"/>
        <w:bottom w:val="none" w:sz="0" w:space="0" w:color="auto"/>
        <w:right w:val="none" w:sz="0" w:space="0" w:color="auto"/>
      </w:divBdr>
    </w:div>
    <w:div w:id="548960434">
      <w:bodyDiv w:val="1"/>
      <w:marLeft w:val="0"/>
      <w:marRight w:val="0"/>
      <w:marTop w:val="0"/>
      <w:marBottom w:val="0"/>
      <w:divBdr>
        <w:top w:val="none" w:sz="0" w:space="0" w:color="auto"/>
        <w:left w:val="none" w:sz="0" w:space="0" w:color="auto"/>
        <w:bottom w:val="none" w:sz="0" w:space="0" w:color="auto"/>
        <w:right w:val="none" w:sz="0" w:space="0" w:color="auto"/>
      </w:divBdr>
    </w:div>
    <w:div w:id="720176572">
      <w:bodyDiv w:val="1"/>
      <w:marLeft w:val="0"/>
      <w:marRight w:val="0"/>
      <w:marTop w:val="0"/>
      <w:marBottom w:val="0"/>
      <w:divBdr>
        <w:top w:val="none" w:sz="0" w:space="0" w:color="auto"/>
        <w:left w:val="none" w:sz="0" w:space="0" w:color="auto"/>
        <w:bottom w:val="none" w:sz="0" w:space="0" w:color="auto"/>
        <w:right w:val="none" w:sz="0" w:space="0" w:color="auto"/>
      </w:divBdr>
    </w:div>
    <w:div w:id="974485884">
      <w:bodyDiv w:val="1"/>
      <w:marLeft w:val="0"/>
      <w:marRight w:val="0"/>
      <w:marTop w:val="0"/>
      <w:marBottom w:val="0"/>
      <w:divBdr>
        <w:top w:val="none" w:sz="0" w:space="0" w:color="auto"/>
        <w:left w:val="none" w:sz="0" w:space="0" w:color="auto"/>
        <w:bottom w:val="none" w:sz="0" w:space="0" w:color="auto"/>
        <w:right w:val="none" w:sz="0" w:space="0" w:color="auto"/>
      </w:divBdr>
    </w:div>
    <w:div w:id="1047417059">
      <w:bodyDiv w:val="1"/>
      <w:marLeft w:val="0"/>
      <w:marRight w:val="0"/>
      <w:marTop w:val="0"/>
      <w:marBottom w:val="0"/>
      <w:divBdr>
        <w:top w:val="none" w:sz="0" w:space="0" w:color="auto"/>
        <w:left w:val="none" w:sz="0" w:space="0" w:color="auto"/>
        <w:bottom w:val="none" w:sz="0" w:space="0" w:color="auto"/>
        <w:right w:val="none" w:sz="0" w:space="0" w:color="auto"/>
      </w:divBdr>
    </w:div>
    <w:div w:id="1070424629">
      <w:bodyDiv w:val="1"/>
      <w:marLeft w:val="0"/>
      <w:marRight w:val="0"/>
      <w:marTop w:val="0"/>
      <w:marBottom w:val="0"/>
      <w:divBdr>
        <w:top w:val="none" w:sz="0" w:space="0" w:color="auto"/>
        <w:left w:val="none" w:sz="0" w:space="0" w:color="auto"/>
        <w:bottom w:val="none" w:sz="0" w:space="0" w:color="auto"/>
        <w:right w:val="none" w:sz="0" w:space="0" w:color="auto"/>
      </w:divBdr>
    </w:div>
    <w:div w:id="1403598400">
      <w:bodyDiv w:val="1"/>
      <w:marLeft w:val="0"/>
      <w:marRight w:val="0"/>
      <w:marTop w:val="0"/>
      <w:marBottom w:val="0"/>
      <w:divBdr>
        <w:top w:val="none" w:sz="0" w:space="0" w:color="auto"/>
        <w:left w:val="none" w:sz="0" w:space="0" w:color="auto"/>
        <w:bottom w:val="none" w:sz="0" w:space="0" w:color="auto"/>
        <w:right w:val="none" w:sz="0" w:space="0" w:color="auto"/>
      </w:divBdr>
    </w:div>
    <w:div w:id="1617713042">
      <w:bodyDiv w:val="1"/>
      <w:marLeft w:val="0"/>
      <w:marRight w:val="0"/>
      <w:marTop w:val="0"/>
      <w:marBottom w:val="0"/>
      <w:divBdr>
        <w:top w:val="none" w:sz="0" w:space="0" w:color="auto"/>
        <w:left w:val="none" w:sz="0" w:space="0" w:color="auto"/>
        <w:bottom w:val="none" w:sz="0" w:space="0" w:color="auto"/>
        <w:right w:val="none" w:sz="0" w:space="0" w:color="auto"/>
      </w:divBdr>
    </w:div>
    <w:div w:id="1713530547">
      <w:bodyDiv w:val="1"/>
      <w:marLeft w:val="0"/>
      <w:marRight w:val="0"/>
      <w:marTop w:val="0"/>
      <w:marBottom w:val="0"/>
      <w:divBdr>
        <w:top w:val="none" w:sz="0" w:space="0" w:color="auto"/>
        <w:left w:val="none" w:sz="0" w:space="0" w:color="auto"/>
        <w:bottom w:val="none" w:sz="0" w:space="0" w:color="auto"/>
        <w:right w:val="none" w:sz="0" w:space="0" w:color="auto"/>
      </w:divBdr>
    </w:div>
    <w:div w:id="201217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inanzaspublicas.hacienda.gob.mx/work/models/Finanzas_Publicas/docs/paquete_economico/precgpe/precgpe_2019.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b.mx/cms/uploads/attachment/file/339982/V-PerspectivasEconomicas-junio2018.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9C7DA9E5-A090-4CA0-85A8-F06712345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3904</Words>
  <Characters>21475</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25329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Estefania</cp:lastModifiedBy>
  <cp:revision>2</cp:revision>
  <dcterms:created xsi:type="dcterms:W3CDTF">2019-07-09T15:54:00Z</dcterms:created>
  <dcterms:modified xsi:type="dcterms:W3CDTF">2019-07-09T15:54:00Z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