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02F3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02F3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02F3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02F3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02F3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02F3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02F3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02F3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02F3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02F3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02F3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02F3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02F3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02F3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02F3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02F3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02F3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3456D1C0" w14:textId="77777777" w:rsidR="001F1242" w:rsidRP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r w:rsidRPr="001F1242">
        <w:rPr>
          <w:rFonts w:ascii="Arial" w:eastAsia="Calibri" w:hAnsi="Arial" w:cs="Arial"/>
          <w:sz w:val="20"/>
          <w:szCs w:val="20"/>
          <w:u w:val="single"/>
          <w:lang w:eastAsia="en-US"/>
        </w:rPr>
        <w:t>El Banco Mundial mantuvo sin cambio su estimado de crecimiento para la economía mexicana en 2017 al prever una desaceleración a un ritmo de 1.8 por ciento desde el 2.3 por ciento que tuvo en 2016, principalmente por una contracción en la inversión, reflejo de la incertidumbre sobre la política económica de Estados Unidos.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2018 y 2019, lo bajó en 0.3 puntos a 2.2 y 2.5 por ciento, respectivamente.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su informe 'Perspectivas Económicas Globales' de este junio, señala que la nueva administración en Estados Unidos sugiere grandes cambios fiscales, comerciales y migratorios que podrían afectar la inversión y la toma de decisiones de las compañías, así como el capital y remesas dirigidos a mercados emergentes. Incluso sin cambios concretos, la incertidumbre podría afectar las perspectivas para la economía estadounidense y de sus principales socios comerciales, advierte el organismo.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La previsión de crecimiento para Estados Unidos en el presente año se ajustó ligeramente a la baja respecto a lo pronosticado en enero, a 2.1 desde 2.2 por ciento pero en franca recuperación desde el 1.6 por ciento de 2016. Para el 2018, la mejoró en igual magnitud a 2.2 por ciento.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Banco Mundial estima que la Reserva Federal continúe endureciendo su política monetaria pero a un ritmo más gradual que en los anteriores ciclos, reflejando persistentes legados de la crisis financiera y tasas de interés menos equilibradas.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recorte a los impuestos y los programas de infraestructura conducirían a un crecimiento más fuerte de lo estimado en el corto plazo, pero también a un incremento más rápido de las tasas de interés.</w:t>
      </w:r>
      <w:r w:rsidRPr="001F1242">
        <w:rPr>
          <w:rFonts w:ascii="Arial" w:eastAsia="Calibri" w:hAnsi="Arial" w:cs="Arial"/>
          <w:sz w:val="20"/>
          <w:szCs w:val="20"/>
          <w:u w:val="single"/>
          <w:lang w:eastAsia="en-US"/>
        </w:rPr>
        <w:br/>
        <w:t>Si se produjeran cambios sustanciales en las políticas comerciales, desencadenarían medidas de represalia, lo que perjudicaría la actividad tanto en Estados Unidos como en sus socios comerciales.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lastRenderedPageBreak/>
        <w:br/>
        <w:t>Las multinacionales estadounidenses están estrechamente interconectadas en las cadenas de suministro regionales y mundiales y representan una parte sustancial de las exportaciones, las ventas nacionales y el empleo en los Estados Unidos.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impacto sobre el comercio y la actividad por los ajustes fiscales en el llamado impuesto fronterizo dependería en gran medida de la reacción del tipo de cambio y de las incertidumbres políticas asociadas.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Latinoamérica y el Caribe, el crecimiento estimado es de 0.8 por ciento para lo que resta de 2017, conforme Argentina y Brasil salen de la recesión.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el largo plazo, el crecimiento en la región se ve limitado por los cuellos de botella en la infraestructura, destacando el equilibrio con las necesidades de consolidación fiscal a corto plazo y el esperado crecimiento a largo plazo de los precios de las materias primas tras el último súper ciclo.</w:t>
      </w:r>
    </w:p>
    <w:p w14:paraId="01B977EA" w14:textId="77777777" w:rsidR="001F1242" w:rsidRDefault="00202F32" w:rsidP="001F1242">
      <w:pPr>
        <w:spacing w:line="360" w:lineRule="auto"/>
        <w:ind w:left="720"/>
        <w:jc w:val="both"/>
        <w:rPr>
          <w:rFonts w:ascii="Century Gothic" w:hAnsi="Century Gothic"/>
          <w:sz w:val="20"/>
          <w:szCs w:val="20"/>
        </w:rPr>
      </w:pPr>
      <w:hyperlink r:id="rId12" w:history="1">
        <w:r w:rsidR="001F1242" w:rsidRPr="00222F5D">
          <w:rPr>
            <w:rStyle w:val="Hipervnculo"/>
            <w:rFonts w:ascii="Century Gothic" w:hAnsi="Century Gothic"/>
            <w:sz w:val="20"/>
            <w:szCs w:val="20"/>
          </w:rPr>
          <w:t>http://www.elfinanciero.com.mx/economia/banco-mundial-reduce-crecimiento-de-mexico-para-2018-y-2019.html</w:t>
        </w:r>
      </w:hyperlink>
    </w:p>
    <w:p w14:paraId="210E409D"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Más sin embargo el Organismo Operador en el momento de la elaboración y proyección del presupuesto 2018 está ubicada en números negros y sin pasivos que no puedan solventarse de manera inmediata, por lo que actualmente no se cuenta con Deuda.</w:t>
      </w:r>
    </w:p>
    <w:p w14:paraId="14CB1D6F"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9C4769D" w14:textId="77777777" w:rsidR="001F1242" w:rsidRPr="001F1242" w:rsidRDefault="001F1242" w:rsidP="001F1242">
      <w:pPr>
        <w:autoSpaceDE w:val="0"/>
        <w:autoSpaceDN w:val="0"/>
        <w:adjustRightInd w:val="0"/>
        <w:spacing w:line="360" w:lineRule="auto"/>
        <w:jc w:val="both"/>
        <w:rPr>
          <w:rFonts w:ascii="Arial" w:hAnsi="Arial" w:cs="Arial"/>
          <w:sz w:val="20"/>
          <w:szCs w:val="20"/>
          <w:u w:val="single"/>
        </w:rPr>
      </w:pPr>
      <w:r w:rsidRPr="001F1242">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inflacionario, así como en el Rubro de Servicios Personales se consideró incremento general del 4% a sueldo, algunas nivelaciones, 16 nuevas plazas. </w:t>
      </w:r>
    </w:p>
    <w:p w14:paraId="3285DC0B" w14:textId="77777777" w:rsidR="007D1E76" w:rsidRPr="001F1242" w:rsidRDefault="007D1E76" w:rsidP="00CB41C4">
      <w:pPr>
        <w:tabs>
          <w:tab w:val="left" w:leader="underscore" w:pos="9639"/>
        </w:tabs>
        <w:spacing w:after="0" w:line="240" w:lineRule="auto"/>
        <w:jc w:val="both"/>
        <w:rPr>
          <w:rFonts w:cs="Calibri"/>
          <w:lang w:val="es-ES"/>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417"/>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436C88" w:rsidRPr="00E056CB" w14:paraId="6B73AD97" w14:textId="3133FA8B" w:rsidTr="00436C88">
        <w:trPr>
          <w:gridAfter w:val="5"/>
          <w:wAfter w:w="5900" w:type="dxa"/>
          <w:trHeight w:val="59"/>
        </w:trPr>
        <w:tc>
          <w:tcPr>
            <w:tcW w:w="1348" w:type="dxa"/>
          </w:tcPr>
          <w:p w14:paraId="25F3E205"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436C88" w:rsidRPr="00E056CB" w:rsidRDefault="00436C88" w:rsidP="00436C88">
            <w:pPr>
              <w:spacing w:after="0" w:line="240" w:lineRule="auto"/>
              <w:jc w:val="right"/>
            </w:pPr>
            <w:r>
              <w:rPr>
                <w:rFonts w:ascii="Arial" w:hAnsi="Arial" w:cs="Arial"/>
                <w:b/>
                <w:sz w:val="16"/>
                <w:szCs w:val="10"/>
              </w:rPr>
              <w:t>2018</w:t>
            </w:r>
          </w:p>
        </w:tc>
      </w:tr>
      <w:tr w:rsidR="00436C88" w:rsidRPr="00E056CB" w14:paraId="567B3D71" w14:textId="7A6A864B" w:rsidTr="00436C88">
        <w:trPr>
          <w:gridAfter w:val="5"/>
          <w:wAfter w:w="5900" w:type="dxa"/>
          <w:trHeight w:val="710"/>
        </w:trPr>
        <w:tc>
          <w:tcPr>
            <w:tcW w:w="1348" w:type="dxa"/>
          </w:tcPr>
          <w:p w14:paraId="4FD7687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436C88" w:rsidRDefault="005B664F">
            <w:pPr>
              <w:spacing w:after="0" w:line="240" w:lineRule="auto"/>
              <w:rPr>
                <w:rFonts w:ascii="Arial" w:hAnsi="Arial" w:cs="Arial"/>
                <w:color w:val="000000"/>
                <w:sz w:val="10"/>
                <w:szCs w:val="10"/>
              </w:rPr>
            </w:pPr>
            <w:r>
              <w:rPr>
                <w:rFonts w:ascii="Arial" w:hAnsi="Arial" w:cs="Arial"/>
                <w:color w:val="000000"/>
                <w:sz w:val="10"/>
                <w:szCs w:val="10"/>
              </w:rPr>
              <w:t>28</w:t>
            </w:r>
            <w:r w:rsidR="00436C88" w:rsidRPr="00494586">
              <w:rPr>
                <w:rFonts w:ascii="Arial" w:hAnsi="Arial" w:cs="Arial"/>
                <w:color w:val="000000"/>
                <w:sz w:val="10"/>
                <w:szCs w:val="10"/>
              </w:rPr>
              <w:t xml:space="preserve"> DEPARTAMENTOS</w:t>
            </w:r>
          </w:p>
          <w:p w14:paraId="63AEE873" w14:textId="32842BA7" w:rsidR="002E7EB3" w:rsidRPr="00E056CB" w:rsidRDefault="002E7EB3">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C7F5DF3"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Pr>
          <w:rFonts w:ascii="Arial" w:hAnsi="Arial" w:cs="Arial"/>
          <w:sz w:val="20"/>
          <w:szCs w:val="20"/>
          <w:u w:val="single"/>
        </w:rPr>
        <w:t>8</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lastRenderedPageBreak/>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651B30C" w:rsidR="00CB41C4" w:rsidRDefault="002E7EB3"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31B3EC90" wp14:editId="0F13D150">
            <wp:extent cx="6143625" cy="499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4991100"/>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4E082183" w:rsidR="008A41BD" w:rsidRPr="008A41BD" w:rsidRDefault="008A41BD" w:rsidP="008A41BD">
      <w:pPr>
        <w:pStyle w:val="Textoindependiente"/>
        <w:ind w:left="540" w:hanging="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Pr="000D7D75" w:rsidRDefault="007359DA" w:rsidP="007359DA">
      <w:pPr>
        <w:rPr>
          <w:rFonts w:ascii="Arial" w:hAnsi="Arial" w:cs="Arial"/>
          <w:sz w:val="20"/>
          <w:szCs w:val="20"/>
          <w:u w:val="single"/>
        </w:rPr>
      </w:pPr>
      <w:r w:rsidRPr="000D7D75">
        <w:rPr>
          <w:rFonts w:ascii="Arial" w:hAnsi="Arial" w:cs="Arial"/>
          <w:sz w:val="20"/>
          <w:szCs w:val="20"/>
          <w:u w:val="single"/>
        </w:rPr>
        <w:t>SI.</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1F9EE54B" w14:textId="75C0D20C"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Default="007653A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B93BCE3" w14:textId="4B8474DE" w:rsidR="00CB49A2" w:rsidRPr="00726A21" w:rsidRDefault="00CB49A2" w:rsidP="00CB49A2">
      <w:pPr>
        <w:rPr>
          <w:rFonts w:ascii="Arial" w:hAnsi="Arial" w:cs="Arial"/>
          <w:sz w:val="20"/>
          <w:szCs w:val="20"/>
          <w:u w:val="single"/>
        </w:rPr>
      </w:pPr>
      <w:r w:rsidRPr="00E5617B">
        <w:rPr>
          <w:rFonts w:ascii="Arial" w:hAnsi="Arial" w:cs="Arial"/>
          <w:sz w:val="20"/>
          <w:szCs w:val="20"/>
          <w:u w:val="single"/>
        </w:rPr>
        <w:t xml:space="preserve">Provisiones de Ejercicios Anteriores (Obra por ejecutar </w:t>
      </w:r>
      <w:r w:rsidRPr="00590483">
        <w:rPr>
          <w:rFonts w:ascii="Arial" w:hAnsi="Arial" w:cs="Arial"/>
          <w:sz w:val="20"/>
          <w:szCs w:val="20"/>
          <w:u w:val="single"/>
        </w:rPr>
        <w:t>$</w:t>
      </w:r>
      <w:r w:rsidR="006E0A86" w:rsidRPr="006E0A86">
        <w:rPr>
          <w:rFonts w:ascii="Arial" w:hAnsi="Arial" w:cs="Arial"/>
          <w:sz w:val="20"/>
          <w:szCs w:val="20"/>
          <w:u w:val="single"/>
        </w:rPr>
        <w:t>108</w:t>
      </w:r>
      <w:r w:rsidR="006E0A86">
        <w:rPr>
          <w:rFonts w:ascii="Arial" w:hAnsi="Arial" w:cs="Arial"/>
          <w:sz w:val="20"/>
          <w:szCs w:val="20"/>
          <w:u w:val="single"/>
        </w:rPr>
        <w:t>,</w:t>
      </w:r>
      <w:r w:rsidR="006E0A86" w:rsidRPr="006E0A86">
        <w:rPr>
          <w:rFonts w:ascii="Arial" w:hAnsi="Arial" w:cs="Arial"/>
          <w:sz w:val="20"/>
          <w:szCs w:val="20"/>
          <w:u w:val="single"/>
        </w:rPr>
        <w:t>721</w:t>
      </w:r>
      <w:r w:rsidR="006E0A86">
        <w:rPr>
          <w:rFonts w:ascii="Arial" w:hAnsi="Arial" w:cs="Arial"/>
          <w:sz w:val="20"/>
          <w:szCs w:val="20"/>
          <w:u w:val="single"/>
        </w:rPr>
        <w:t>,</w:t>
      </w:r>
      <w:r w:rsidR="006E0A86" w:rsidRPr="006E0A86">
        <w:rPr>
          <w:rFonts w:ascii="Arial" w:hAnsi="Arial" w:cs="Arial"/>
          <w:sz w:val="20"/>
          <w:szCs w:val="20"/>
          <w:u w:val="single"/>
        </w:rPr>
        <w:t>305.01</w:t>
      </w:r>
      <w:r w:rsidRPr="00A16E6B">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58A07C0E" w14:textId="77777777" w:rsidR="0083728C" w:rsidRDefault="007D1E76" w:rsidP="0083728C">
      <w:pPr>
        <w:pStyle w:val="Prrafodelista"/>
        <w:numPr>
          <w:ilvl w:val="0"/>
          <w:numId w:val="2"/>
        </w:numPr>
        <w:tabs>
          <w:tab w:val="left" w:leader="underscore" w:pos="9639"/>
        </w:tabs>
        <w:spacing w:after="0" w:line="240" w:lineRule="auto"/>
        <w:jc w:val="both"/>
        <w:rPr>
          <w:rFonts w:cs="Calibri"/>
        </w:rPr>
      </w:pPr>
      <w:r w:rsidRPr="008A41BD">
        <w:rPr>
          <w:rFonts w:cs="Calibri"/>
        </w:rPr>
        <w:t>Inversiones en valores:</w:t>
      </w:r>
    </w:p>
    <w:p w14:paraId="6CFB5BB3" w14:textId="77777777" w:rsidR="0083728C" w:rsidRDefault="0083728C" w:rsidP="0083728C">
      <w:pPr>
        <w:pStyle w:val="Prrafodelista"/>
        <w:tabs>
          <w:tab w:val="left" w:leader="underscore" w:pos="9639"/>
        </w:tabs>
        <w:spacing w:after="0" w:line="240" w:lineRule="auto"/>
        <w:jc w:val="both"/>
        <w:rPr>
          <w:rFonts w:cs="Calibri"/>
        </w:rPr>
      </w:pPr>
    </w:p>
    <w:p w14:paraId="144F6EFD" w14:textId="682F5E21" w:rsidR="0083728C" w:rsidRDefault="0083728C" w:rsidP="0083728C">
      <w:pPr>
        <w:tabs>
          <w:tab w:val="left" w:leader="underscore" w:pos="9639"/>
        </w:tabs>
        <w:spacing w:after="0" w:line="240" w:lineRule="auto"/>
        <w:jc w:val="both"/>
        <w:rPr>
          <w:rFonts w:cs="Calibri"/>
        </w:rPr>
      </w:pPr>
      <w:r w:rsidRPr="0083728C">
        <w:rPr>
          <w:noProof/>
        </w:rPr>
        <w:drawing>
          <wp:inline distT="0" distB="0" distL="0" distR="0" wp14:anchorId="5885DA7A" wp14:editId="32D33DEC">
            <wp:extent cx="6151880" cy="1056531"/>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1056531"/>
                    </a:xfrm>
                    <a:prstGeom prst="rect">
                      <a:avLst/>
                    </a:prstGeom>
                    <a:noFill/>
                    <a:ln>
                      <a:noFill/>
                    </a:ln>
                  </pic:spPr>
                </pic:pic>
              </a:graphicData>
            </a:graphic>
          </wp:inline>
        </w:drawing>
      </w:r>
    </w:p>
    <w:p w14:paraId="36A2668D" w14:textId="1FC417B1" w:rsidR="00C66CFA" w:rsidRPr="0083728C" w:rsidRDefault="0083728C" w:rsidP="0083728C">
      <w:pPr>
        <w:tabs>
          <w:tab w:val="left" w:leader="underscore" w:pos="9639"/>
        </w:tabs>
        <w:spacing w:after="0" w:line="240" w:lineRule="auto"/>
        <w:jc w:val="both"/>
        <w:rPr>
          <w:rFonts w:cs="Calibri"/>
        </w:rPr>
      </w:pPr>
      <w:r w:rsidRPr="0083728C">
        <w:rPr>
          <w:rFonts w:cs="Calibri"/>
        </w:rPr>
        <w:t xml:space="preserve"> </w:t>
      </w:r>
    </w:p>
    <w:p w14:paraId="7F294F69" w14:textId="51A15E10" w:rsidR="007D1E76" w:rsidRPr="00C66CFA" w:rsidRDefault="00C66CFA" w:rsidP="00C66CFA">
      <w:pPr>
        <w:tabs>
          <w:tab w:val="left" w:leader="underscore" w:pos="9639"/>
        </w:tabs>
        <w:spacing w:after="0" w:line="240" w:lineRule="auto"/>
        <w:ind w:left="360"/>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345CCFCF" w14:textId="77777777" w:rsidR="0083728C" w:rsidRPr="0083728C" w:rsidRDefault="0083728C" w:rsidP="0083728C">
      <w:pPr>
        <w:jc w:val="both"/>
        <w:rPr>
          <w:rFonts w:ascii="Arial" w:hAnsi="Arial" w:cs="Arial"/>
          <w:b/>
          <w:bCs/>
          <w:sz w:val="20"/>
          <w:szCs w:val="20"/>
        </w:rPr>
      </w:pPr>
      <w:bookmarkStart w:id="10" w:name="_Toc508279631"/>
      <w:r w:rsidRPr="0083728C">
        <w:rPr>
          <w:rFonts w:ascii="Arial" w:hAnsi="Arial" w:cs="Arial"/>
          <w:b/>
          <w:bCs/>
          <w:sz w:val="20"/>
          <w:szCs w:val="20"/>
        </w:rPr>
        <w:t xml:space="preserve">10. Reporte de la Recaudación:                       </w:t>
      </w:r>
    </w:p>
    <w:p w14:paraId="679D0500" w14:textId="77777777" w:rsidR="0083728C" w:rsidRPr="0083728C" w:rsidRDefault="0083728C" w:rsidP="0083728C">
      <w:pPr>
        <w:jc w:val="both"/>
        <w:rPr>
          <w:rFonts w:ascii="Arial" w:hAnsi="Arial" w:cs="Arial"/>
          <w:sz w:val="20"/>
          <w:szCs w:val="20"/>
        </w:rPr>
      </w:pPr>
      <w:r w:rsidRPr="0083728C">
        <w:rPr>
          <w:rFonts w:ascii="Arial" w:hAnsi="Arial" w:cs="Arial"/>
          <w:sz w:val="20"/>
          <w:szCs w:val="20"/>
        </w:rPr>
        <w:t>a) Análisis del comportamiento de la recaudación correspondiente al ente público o cualquier tipo de ingreso, de forma separada los ingresos locales de los federales:</w:t>
      </w:r>
    </w:p>
    <w:p w14:paraId="0DD5B1D0" w14:textId="77777777" w:rsidR="0083728C" w:rsidRPr="0083728C" w:rsidRDefault="0083728C" w:rsidP="0083728C">
      <w:pPr>
        <w:jc w:val="both"/>
        <w:rPr>
          <w:rFonts w:ascii="Arial" w:hAnsi="Arial" w:cs="Arial"/>
          <w:b/>
          <w:bCs/>
          <w:sz w:val="20"/>
          <w:szCs w:val="20"/>
          <w:u w:val="single"/>
        </w:rPr>
      </w:pPr>
      <w:r w:rsidRPr="0083728C">
        <w:rPr>
          <w:rFonts w:ascii="Arial" w:hAnsi="Arial" w:cs="Arial"/>
          <w:sz w:val="20"/>
          <w:szCs w:val="20"/>
          <w:u w:val="single"/>
        </w:rPr>
        <w:t xml:space="preserve">En el mes de </w:t>
      </w:r>
      <w:r w:rsidRPr="0083728C">
        <w:rPr>
          <w:rFonts w:ascii="Arial" w:hAnsi="Arial" w:cs="Arial"/>
          <w:b/>
          <w:bCs/>
          <w:sz w:val="20"/>
          <w:szCs w:val="20"/>
          <w:u w:val="single"/>
        </w:rPr>
        <w:t>Diciembre del 2018</w:t>
      </w:r>
      <w:r w:rsidRPr="0083728C">
        <w:rPr>
          <w:rFonts w:ascii="Arial" w:hAnsi="Arial" w:cs="Arial"/>
          <w:sz w:val="20"/>
          <w:szCs w:val="20"/>
          <w:u w:val="single"/>
        </w:rPr>
        <w:t xml:space="preserve"> se obtuvo una recaudación acumulada de </w:t>
      </w:r>
      <w:r w:rsidRPr="0083728C">
        <w:rPr>
          <w:rFonts w:ascii="Arial" w:hAnsi="Arial" w:cs="Arial"/>
          <w:b/>
          <w:bCs/>
          <w:sz w:val="20"/>
          <w:szCs w:val="20"/>
          <w:u w:val="single"/>
        </w:rPr>
        <w:t>$259´234,256</w:t>
      </w:r>
      <w:r w:rsidRPr="0083728C">
        <w:rPr>
          <w:rFonts w:ascii="Arial" w:hAnsi="Arial" w:cs="Arial"/>
          <w:sz w:val="20"/>
          <w:szCs w:val="20"/>
          <w:u w:val="single"/>
        </w:rPr>
        <w:t xml:space="preserve"> (</w:t>
      </w:r>
      <w:r w:rsidRPr="0083728C">
        <w:rPr>
          <w:rFonts w:ascii="Arial" w:hAnsi="Arial" w:cs="Arial"/>
          <w:b/>
          <w:bCs/>
          <w:sz w:val="20"/>
          <w:szCs w:val="20"/>
          <w:u w:val="single"/>
        </w:rPr>
        <w:t>102.51%</w:t>
      </w:r>
      <w:r w:rsidRPr="0083728C">
        <w:rPr>
          <w:rFonts w:ascii="Arial" w:hAnsi="Arial" w:cs="Arial"/>
          <w:sz w:val="20"/>
          <w:szCs w:val="20"/>
          <w:u w:val="single"/>
        </w:rPr>
        <w:t xml:space="preserve"> de lo presupuestado) por el cobro de los servicios de agua potable, alcantarillado y saneamiento correspondiente al mes de referencia.</w:t>
      </w:r>
    </w:p>
    <w:p w14:paraId="5A131FC0" w14:textId="77777777" w:rsidR="0083728C" w:rsidRPr="0083728C" w:rsidRDefault="0083728C" w:rsidP="0083728C">
      <w:pPr>
        <w:jc w:val="both"/>
        <w:rPr>
          <w:rFonts w:ascii="Arial" w:hAnsi="Arial" w:cs="Arial"/>
          <w:sz w:val="20"/>
          <w:szCs w:val="20"/>
        </w:rPr>
      </w:pPr>
      <w:r w:rsidRPr="0083728C">
        <w:rPr>
          <w:rFonts w:ascii="Arial" w:hAnsi="Arial" w:cs="Arial"/>
          <w:sz w:val="20"/>
          <w:szCs w:val="20"/>
        </w:rPr>
        <w:t>b) Proyección de la recaudación e ingresos en el mediano plazo:</w:t>
      </w:r>
    </w:p>
    <w:p w14:paraId="2AB5E284" w14:textId="77777777" w:rsidR="0083728C" w:rsidRDefault="0083728C" w:rsidP="0083728C">
      <w:pPr>
        <w:jc w:val="both"/>
        <w:rPr>
          <w:rFonts w:cs="Calibri"/>
          <w:sz w:val="24"/>
          <w:szCs w:val="24"/>
          <w:lang w:val="es-ES"/>
        </w:rPr>
      </w:pPr>
      <w:r w:rsidRPr="0083728C">
        <w:rPr>
          <w:rFonts w:ascii="Arial" w:hAnsi="Arial" w:cs="Arial"/>
          <w:sz w:val="20"/>
          <w:szCs w:val="20"/>
          <w:u w:val="single"/>
        </w:rPr>
        <w:t xml:space="preserve">Se proyecta recaudar un total de </w:t>
      </w:r>
      <w:r w:rsidRPr="0083728C">
        <w:rPr>
          <w:rFonts w:ascii="Arial" w:hAnsi="Arial" w:cs="Arial"/>
          <w:b/>
          <w:bCs/>
          <w:sz w:val="20"/>
          <w:szCs w:val="20"/>
          <w:u w:val="single"/>
        </w:rPr>
        <w:t>$446’190,410</w:t>
      </w:r>
      <w:r w:rsidRPr="0083728C">
        <w:rPr>
          <w:rFonts w:ascii="Arial" w:hAnsi="Arial" w:cs="Arial"/>
          <w:sz w:val="20"/>
          <w:szCs w:val="20"/>
          <w:u w:val="single"/>
        </w:rPr>
        <w:t xml:space="preserve">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83728C">
        <w:rPr>
          <w:rFonts w:ascii="Arial" w:hAnsi="Arial" w:cs="Arial"/>
          <w:b/>
          <w:bCs/>
          <w:sz w:val="20"/>
          <w:szCs w:val="20"/>
          <w:u w:val="single"/>
        </w:rPr>
        <w:t>Diciembre de 2018</w:t>
      </w:r>
      <w:r w:rsidRPr="0083728C">
        <w:rPr>
          <w:rFonts w:ascii="Arial" w:hAnsi="Arial" w:cs="Arial"/>
          <w:sz w:val="20"/>
          <w:szCs w:val="20"/>
          <w:u w:val="single"/>
        </w:rPr>
        <w:t xml:space="preserve">, se logró recaudar un total de </w:t>
      </w:r>
      <w:r w:rsidRPr="0083728C">
        <w:rPr>
          <w:rFonts w:ascii="Arial" w:hAnsi="Arial" w:cs="Arial"/>
          <w:b/>
          <w:bCs/>
          <w:sz w:val="20"/>
          <w:szCs w:val="20"/>
          <w:u w:val="single"/>
        </w:rPr>
        <w:t>$558´828,298.75</w:t>
      </w:r>
      <w:r w:rsidRPr="0083728C">
        <w:rPr>
          <w:rFonts w:ascii="Arial" w:hAnsi="Arial" w:cs="Arial"/>
          <w:sz w:val="20"/>
          <w:szCs w:val="20"/>
          <w:u w:val="single"/>
        </w:rPr>
        <w:t xml:space="preserve">. </w:t>
      </w:r>
      <w:r w:rsidRPr="0083728C">
        <w:rPr>
          <w:rFonts w:ascii="Arial" w:hAnsi="Arial" w:cs="Arial"/>
          <w:sz w:val="20"/>
          <w:szCs w:val="20"/>
          <w:u w:val="single"/>
          <w:lang w:val="es-ES"/>
        </w:rPr>
        <w:t xml:space="preserve">Lo anterior representa un </w:t>
      </w:r>
      <w:r w:rsidRPr="0083728C">
        <w:rPr>
          <w:rFonts w:ascii="Arial" w:hAnsi="Arial" w:cs="Arial"/>
          <w:b/>
          <w:bCs/>
          <w:sz w:val="20"/>
          <w:szCs w:val="20"/>
          <w:u w:val="single"/>
          <w:lang w:val="es-ES"/>
        </w:rPr>
        <w:t>125.24%</w:t>
      </w:r>
      <w:r w:rsidRPr="0083728C">
        <w:rPr>
          <w:rFonts w:ascii="Arial" w:hAnsi="Arial" w:cs="Arial"/>
          <w:sz w:val="20"/>
          <w:szCs w:val="20"/>
          <w:u w:val="single"/>
          <w:lang w:val="es-ES"/>
        </w:rPr>
        <w:t xml:space="preserve"> del total presupuestado.</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307489DC"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Pr>
          <w:rFonts w:ascii="Arial" w:hAnsi="Arial" w:cs="Arial"/>
          <w:sz w:val="20"/>
          <w:szCs w:val="20"/>
          <w:u w:val="single"/>
        </w:rPr>
        <w:t>8</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858928"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2E7EB3">
        <w:rPr>
          <w:rFonts w:ascii="Century Gothic" w:eastAsia="Times New Roman" w:hAnsi="Century Gothic" w:cs="Arial"/>
          <w:color w:val="000000"/>
          <w:sz w:val="20"/>
          <w:szCs w:val="20"/>
          <w:u w:val="single"/>
          <w:lang w:eastAsia="es-MX"/>
        </w:rPr>
        <w:t>0333_IR_1801_MCYA_AWA-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D258" w14:textId="77777777" w:rsidR="00202F32" w:rsidRDefault="00202F32" w:rsidP="00E00323">
      <w:pPr>
        <w:spacing w:after="0" w:line="240" w:lineRule="auto"/>
      </w:pPr>
      <w:r>
        <w:separator/>
      </w:r>
    </w:p>
  </w:endnote>
  <w:endnote w:type="continuationSeparator" w:id="0">
    <w:p w14:paraId="29C46FFB" w14:textId="77777777" w:rsidR="00202F32" w:rsidRDefault="00202F3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6E0A86" w:rsidRDefault="006E0A86">
        <w:pPr>
          <w:pStyle w:val="Piedepgina"/>
          <w:jc w:val="right"/>
        </w:pPr>
        <w:r>
          <w:fldChar w:fldCharType="begin"/>
        </w:r>
        <w:r>
          <w:instrText>PAGE   \* MERGEFORMAT</w:instrText>
        </w:r>
        <w:r>
          <w:fldChar w:fldCharType="separate"/>
        </w:r>
        <w:r w:rsidR="0083728C" w:rsidRPr="0083728C">
          <w:rPr>
            <w:noProof/>
            <w:lang w:val="es-ES"/>
          </w:rPr>
          <w:t>12</w:t>
        </w:r>
        <w:r>
          <w:fldChar w:fldCharType="end"/>
        </w:r>
      </w:p>
    </w:sdtContent>
  </w:sdt>
  <w:p w14:paraId="37983FFD" w14:textId="77777777" w:rsidR="006E0A86" w:rsidRDefault="006E0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CD8B" w14:textId="77777777" w:rsidR="00202F32" w:rsidRDefault="00202F32" w:rsidP="00E00323">
      <w:pPr>
        <w:spacing w:after="0" w:line="240" w:lineRule="auto"/>
      </w:pPr>
      <w:r>
        <w:separator/>
      </w:r>
    </w:p>
  </w:footnote>
  <w:footnote w:type="continuationSeparator" w:id="0">
    <w:p w14:paraId="34D5CA30" w14:textId="77777777" w:rsidR="00202F32" w:rsidRDefault="00202F3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6E0A86" w:rsidRDefault="006E0A86" w:rsidP="00A4610E">
    <w:pPr>
      <w:pStyle w:val="Encabezado"/>
      <w:spacing w:after="0" w:line="240" w:lineRule="auto"/>
      <w:jc w:val="center"/>
    </w:pPr>
    <w:r>
      <w:t>JUNTA MUNICIPAL DE AGUA POTABLE Y ALCANTARILLADO DE CELAYA, GTO.</w:t>
    </w:r>
  </w:p>
  <w:p w14:paraId="651A4C4F" w14:textId="46A68178" w:rsidR="006E0A86" w:rsidRDefault="006E0A86" w:rsidP="00A4610E">
    <w:pPr>
      <w:pStyle w:val="Encabezado"/>
      <w:spacing w:after="0" w:line="240" w:lineRule="auto"/>
      <w:jc w:val="center"/>
    </w:pPr>
    <w:r w:rsidRPr="00A4610E">
      <w:t>CORRESPONDI</w:t>
    </w:r>
    <w:r>
      <w:t>ENTES AL 31 DE DICIEMBRE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1F1242"/>
    <w:rsid w:val="00202F32"/>
    <w:rsid w:val="002E7EB3"/>
    <w:rsid w:val="003453CA"/>
    <w:rsid w:val="00414873"/>
    <w:rsid w:val="00435A87"/>
    <w:rsid w:val="00436C88"/>
    <w:rsid w:val="004A58C8"/>
    <w:rsid w:val="0054701E"/>
    <w:rsid w:val="005B664F"/>
    <w:rsid w:val="005D3E43"/>
    <w:rsid w:val="005E231E"/>
    <w:rsid w:val="00657009"/>
    <w:rsid w:val="00663833"/>
    <w:rsid w:val="00681C79"/>
    <w:rsid w:val="006E0A86"/>
    <w:rsid w:val="007359DA"/>
    <w:rsid w:val="007610BC"/>
    <w:rsid w:val="007653AB"/>
    <w:rsid w:val="007714AB"/>
    <w:rsid w:val="007D1E76"/>
    <w:rsid w:val="007D4484"/>
    <w:rsid w:val="0083728C"/>
    <w:rsid w:val="0086459F"/>
    <w:rsid w:val="008A41BD"/>
    <w:rsid w:val="008C3BB8"/>
    <w:rsid w:val="008E076C"/>
    <w:rsid w:val="0092765C"/>
    <w:rsid w:val="00A4610E"/>
    <w:rsid w:val="00A730E0"/>
    <w:rsid w:val="00AA41E5"/>
    <w:rsid w:val="00AB722B"/>
    <w:rsid w:val="00AE1F6A"/>
    <w:rsid w:val="00B84C93"/>
    <w:rsid w:val="00B864D4"/>
    <w:rsid w:val="00C66CFA"/>
    <w:rsid w:val="00C97E1E"/>
    <w:rsid w:val="00CB41C4"/>
    <w:rsid w:val="00CB49A2"/>
    <w:rsid w:val="00CF1316"/>
    <w:rsid w:val="00D13C44"/>
    <w:rsid w:val="00D975B1"/>
    <w:rsid w:val="00DD206B"/>
    <w:rsid w:val="00E00323"/>
    <w:rsid w:val="00E74967"/>
    <w:rsid w:val="00EA37F5"/>
    <w:rsid w:val="00EA7915"/>
    <w:rsid w:val="00EA7959"/>
    <w:rsid w:val="00F35FCF"/>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7CA6686C-D230-4B01-8BCC-50562365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financiero.com.mx/economia/banco-mundial-reduce-crecimiento-de-mexico-para-2018-y-201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A370FF-D15F-4ED7-94EC-FF385A43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3550</Words>
  <Characters>19525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2019-01-17T16:38:00Z</dcterms:created>
  <dcterms:modified xsi:type="dcterms:W3CDTF">2019-01-17T16:38:00Z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