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F4302" w:rsidRPr="00E74967" w:rsidRDefault="00AB4BEA" w:rsidP="003F4302">
      <w:pPr>
        <w:jc w:val="center"/>
        <w:rPr>
          <w:rFonts w:cs="Calibri"/>
          <w:b/>
          <w:sz w:val="28"/>
          <w:szCs w:val="28"/>
        </w:rPr>
      </w:pPr>
      <w:r w:rsidRPr="00E74967">
        <w:rPr>
          <w:rFonts w:cs="Calibri"/>
          <w:b/>
          <w:sz w:val="28"/>
          <w:szCs w:val="28"/>
        </w:rPr>
        <w:fldChar w:fldCharType="begin"/>
      </w:r>
      <w:r w:rsidR="003F4302">
        <w:rPr>
          <w:rFonts w:cs="Calibri"/>
          <w:b/>
          <w:sz w:val="28"/>
          <w:szCs w:val="28"/>
        </w:rPr>
        <w:instrText>HYPERLINK "\\\\svrnas\\..\\..\\..\\lquiroz\\AppData\\Local\\Microsoft\\Windows\\Temporary Internet Files\\Content.Outlook\\HBGSO9P3\\MODELO CTA 2013.pptx"</w:instrText>
      </w:r>
      <w:r w:rsidRPr="00E74967">
        <w:rPr>
          <w:rFonts w:cs="Calibri"/>
          <w:b/>
          <w:sz w:val="28"/>
          <w:szCs w:val="28"/>
        </w:rPr>
        <w:fldChar w:fldCharType="separate"/>
      </w:r>
      <w:r w:rsidR="003F4302" w:rsidRPr="00E74967">
        <w:rPr>
          <w:rStyle w:val="Hipervnculo"/>
          <w:rFonts w:cs="Calibri"/>
          <w:b/>
          <w:sz w:val="28"/>
          <w:szCs w:val="28"/>
        </w:rPr>
        <w:t>NOTAS DE GESTIÓN ADMINISTRATIVA</w:t>
      </w:r>
      <w:r w:rsidRPr="00E74967">
        <w:rPr>
          <w:rFonts w:cs="Calibri"/>
          <w:b/>
          <w:sz w:val="28"/>
          <w:szCs w:val="28"/>
        </w:rPr>
        <w:fldChar w:fldCharType="end"/>
      </w:r>
    </w:p>
    <w:p w:rsidR="003F4302" w:rsidRPr="00E74967" w:rsidRDefault="003F4302" w:rsidP="003F4302">
      <w:pPr>
        <w:rPr>
          <w:rFonts w:cs="Calibri"/>
        </w:rPr>
      </w:pPr>
      <w:r w:rsidRPr="00E74967">
        <w:rPr>
          <w:rFonts w:cs="Calibri"/>
        </w:rPr>
        <w:t>Los Estados Financieros de los entes públicos, proveen de información financiera a los principales usuarios de la misma, al Congreso y a los ciudadanos.</w:t>
      </w:r>
    </w:p>
    <w:p w:rsidR="003F4302" w:rsidRPr="00E74967" w:rsidRDefault="003F4302" w:rsidP="003F4302">
      <w:pPr>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3F4302" w:rsidRPr="00E74967" w:rsidRDefault="003F4302" w:rsidP="003F4302">
      <w:pPr>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3F4302" w:rsidRPr="00E74967" w:rsidRDefault="003F4302" w:rsidP="003F4302">
      <w:pPr>
        <w:pStyle w:val="Prrafodelista"/>
        <w:rPr>
          <w:rFonts w:cs="Calibri"/>
        </w:rPr>
      </w:pPr>
    </w:p>
    <w:p w:rsidR="003F4302" w:rsidRPr="00E74967" w:rsidRDefault="003F4302" w:rsidP="003F4302">
      <w:pPr>
        <w:pStyle w:val="Prrafodelista"/>
        <w:numPr>
          <w:ilvl w:val="0"/>
          <w:numId w:val="11"/>
        </w:numPr>
        <w:spacing w:after="0" w:line="240" w:lineRule="auto"/>
        <w:jc w:val="both"/>
        <w:rPr>
          <w:rFonts w:cs="Calibri"/>
        </w:rPr>
      </w:pPr>
      <w:r w:rsidRPr="00E74967">
        <w:rPr>
          <w:rFonts w:cs="Calibri"/>
        </w:rPr>
        <w:t>Las notas de gestión administrativa deben contener los siguientes puntos:</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1. Introducción:</w:t>
      </w:r>
    </w:p>
    <w:p w:rsidR="003F4302" w:rsidRPr="00E74967" w:rsidRDefault="003F4302" w:rsidP="003F4302">
      <w:pPr>
        <w:rPr>
          <w:rFonts w:cs="Calibri"/>
        </w:rPr>
      </w:pPr>
      <w:r w:rsidRPr="00E74967">
        <w:rPr>
          <w:rFonts w:cs="Calibri"/>
        </w:rPr>
        <w:t>Breve descripción de las actividades principales de la entidad.</w:t>
      </w:r>
    </w:p>
    <w:p w:rsidR="003F4302" w:rsidRPr="00E7588A" w:rsidRDefault="003F4302" w:rsidP="003F4302">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rsidR="003F4302" w:rsidRPr="00E74967" w:rsidRDefault="003F4302" w:rsidP="003F4302">
      <w:pPr>
        <w:rPr>
          <w:rFonts w:cs="Calibri"/>
        </w:rPr>
      </w:pPr>
    </w:p>
    <w:p w:rsidR="003F4302" w:rsidRPr="00E74967" w:rsidRDefault="003F4302" w:rsidP="003F4302">
      <w:pPr>
        <w:rPr>
          <w:rFonts w:cs="Calibri"/>
        </w:rPr>
      </w:pPr>
    </w:p>
    <w:p w:rsidR="00455D3A" w:rsidRDefault="003F4302" w:rsidP="00455D3A">
      <w:pPr>
        <w:rPr>
          <w:rFonts w:cs="Calibri"/>
          <w:b/>
        </w:rPr>
      </w:pPr>
      <w:r w:rsidRPr="00E74967">
        <w:rPr>
          <w:rFonts w:cs="Calibri"/>
          <w:b/>
        </w:rPr>
        <w:t>2. Describir el panorama Económico y Financiero:</w:t>
      </w:r>
    </w:p>
    <w:p w:rsidR="00455D3A" w:rsidRDefault="00455D3A" w:rsidP="00455D3A">
      <w:pPr>
        <w:rPr>
          <w:rFonts w:ascii="Arial" w:hAnsi="Arial" w:cs="Arial"/>
          <w:sz w:val="20"/>
          <w:szCs w:val="20"/>
          <w:u w:val="single"/>
        </w:rPr>
      </w:pPr>
      <w:r w:rsidRPr="00455D3A">
        <w:rPr>
          <w:rFonts w:ascii="Arial" w:hAnsi="Arial" w:cs="Arial"/>
          <w:sz w:val="20"/>
          <w:szCs w:val="20"/>
          <w:u w:val="single"/>
        </w:rPr>
        <w:t>Las condiciones económicas, financieras y hacendarias del Estado o del Municipio, según se trate;</w:t>
      </w:r>
    </w:p>
    <w:p w:rsidR="00455D3A" w:rsidRDefault="00455D3A" w:rsidP="00455D3A">
      <w:pPr>
        <w:rPr>
          <w:rFonts w:ascii="Arial" w:hAnsi="Arial" w:cs="Arial"/>
          <w:sz w:val="20"/>
          <w:szCs w:val="20"/>
          <w:u w:val="single"/>
        </w:rPr>
      </w:pPr>
      <w:r w:rsidRPr="00455D3A">
        <w:rPr>
          <w:rFonts w:ascii="Arial" w:hAnsi="Arial" w:cs="Arial"/>
          <w:sz w:val="20"/>
          <w:szCs w:val="20"/>
          <w:u w:val="single"/>
        </w:rPr>
        <w:t xml:space="preserve">El Banco de México (Banxico) recortó este miércoles su pronóstico del crecimiento de la economía del país para 2017, a un rango de entre 2.3% y 3.3%, respecto al 2.5% y 3.5% en el que se ubicaba anteriormente. </w:t>
      </w:r>
    </w:p>
    <w:p w:rsidR="00455D3A" w:rsidRDefault="00455D3A" w:rsidP="00455D3A">
      <w:pPr>
        <w:rPr>
          <w:rFonts w:ascii="Arial" w:hAnsi="Arial" w:cs="Arial"/>
          <w:sz w:val="20"/>
          <w:szCs w:val="20"/>
          <w:u w:val="single"/>
        </w:rPr>
      </w:pPr>
      <w:r w:rsidRPr="00455D3A">
        <w:rPr>
          <w:rFonts w:ascii="Arial" w:hAnsi="Arial" w:cs="Arial"/>
          <w:sz w:val="20"/>
          <w:szCs w:val="20"/>
          <w:u w:val="single"/>
        </w:rPr>
        <w:t>La decisión del Banco central fue tomada "debido al entorno internacional adverso, y en particular a la revisión a la baja de las expectativas de crecimiento para la producción industrial de Estados Unidos”, indicó Banxico en su Informe Trimestral enero-marzo 2016.</w:t>
      </w:r>
    </w:p>
    <w:p w:rsidR="00455D3A" w:rsidRDefault="00455D3A" w:rsidP="00455D3A">
      <w:pPr>
        <w:rPr>
          <w:rFonts w:ascii="Arial" w:hAnsi="Arial" w:cs="Arial"/>
          <w:sz w:val="20"/>
          <w:szCs w:val="20"/>
          <w:u w:val="single"/>
        </w:rPr>
      </w:pPr>
      <w:r w:rsidRPr="00455D3A">
        <w:rPr>
          <w:rFonts w:ascii="Arial" w:hAnsi="Arial" w:cs="Arial"/>
          <w:sz w:val="20"/>
          <w:szCs w:val="20"/>
          <w:u w:val="single"/>
        </w:rPr>
        <w:t>Hacia delante México enfrenta un entorno externo adverso que significará un lastre para el crecimiento económico y posibles presiones para la inflación, consideró el Banco de México.</w:t>
      </w:r>
    </w:p>
    <w:p w:rsidR="00455D3A" w:rsidRDefault="00455D3A" w:rsidP="00455D3A">
      <w:pPr>
        <w:rPr>
          <w:rFonts w:ascii="Arial" w:hAnsi="Arial" w:cs="Arial"/>
          <w:sz w:val="20"/>
          <w:szCs w:val="20"/>
          <w:u w:val="single"/>
        </w:rPr>
      </w:pPr>
      <w:r w:rsidRPr="00455D3A">
        <w:rPr>
          <w:rFonts w:ascii="Arial" w:hAnsi="Arial" w:cs="Arial"/>
          <w:sz w:val="20"/>
          <w:szCs w:val="20"/>
          <w:u w:val="single"/>
        </w:rPr>
        <w:t>En este contexto, el Banco central dijo que es crucial preservar la fortaleza macroeconómica, actuando de manera oportuna cuando así sea requerido en materia monetaria y fiscal.</w:t>
      </w:r>
    </w:p>
    <w:p w:rsidR="00455D3A" w:rsidRDefault="00455D3A" w:rsidP="00455D3A">
      <w:pPr>
        <w:rPr>
          <w:rFonts w:ascii="Arial" w:hAnsi="Arial" w:cs="Arial"/>
          <w:sz w:val="20"/>
          <w:szCs w:val="20"/>
          <w:u w:val="single"/>
        </w:rPr>
      </w:pPr>
      <w:r w:rsidRPr="00455D3A">
        <w:rPr>
          <w:rFonts w:ascii="Arial" w:hAnsi="Arial" w:cs="Arial"/>
          <w:sz w:val="20"/>
          <w:szCs w:val="20"/>
          <w:u w:val="single"/>
        </w:rPr>
        <w:t>"Asimismo, es necesario seguir impulsando las fuentes de crecimiento interno, de modo que no sólo se contrarreste la atonía de la demanda global, sino que se alcancen mayores tasas de crecimiento de la economía de manera sostenida", dijo Banxico.</w:t>
      </w:r>
    </w:p>
    <w:p w:rsidR="00455D3A" w:rsidRDefault="00455D3A" w:rsidP="00455D3A">
      <w:pPr>
        <w:rPr>
          <w:rFonts w:ascii="Arial" w:hAnsi="Arial" w:cs="Arial"/>
          <w:sz w:val="20"/>
          <w:szCs w:val="20"/>
          <w:u w:val="single"/>
        </w:rPr>
      </w:pPr>
      <w:r w:rsidRPr="00455D3A">
        <w:rPr>
          <w:rFonts w:ascii="Arial" w:hAnsi="Arial" w:cs="Arial"/>
          <w:sz w:val="20"/>
          <w:szCs w:val="20"/>
          <w:u w:val="single"/>
        </w:rPr>
        <w:lastRenderedPageBreak/>
        <w:t>El pronóstico de crecimiento para México en 2016 se mantuvo en un rango de entre 2.0 y 3.0%.</w:t>
      </w:r>
    </w:p>
    <w:p w:rsidR="00455D3A" w:rsidRDefault="00455D3A" w:rsidP="00455D3A">
      <w:pPr>
        <w:rPr>
          <w:rFonts w:ascii="Arial" w:hAnsi="Arial" w:cs="Arial"/>
          <w:sz w:val="20"/>
          <w:szCs w:val="20"/>
          <w:u w:val="single"/>
        </w:rPr>
      </w:pPr>
      <w:r w:rsidRPr="00455D3A">
        <w:rPr>
          <w:rFonts w:ascii="Arial" w:hAnsi="Arial" w:cs="Arial"/>
          <w:sz w:val="20"/>
          <w:szCs w:val="20"/>
          <w:u w:val="single"/>
        </w:rPr>
        <w:t>El pasado 20 de mayo, la Secretaría de Hacienda y Crédito Público (SHCP) modificó a la baja su expectativa de crecimiento para la economía mexicana a un rango de 2.2% a 3.2% para este año.</w:t>
      </w:r>
    </w:p>
    <w:p w:rsidR="00455D3A" w:rsidRDefault="00455D3A" w:rsidP="00455D3A">
      <w:pPr>
        <w:rPr>
          <w:rFonts w:ascii="Arial" w:hAnsi="Arial" w:cs="Arial"/>
          <w:sz w:val="20"/>
          <w:szCs w:val="20"/>
          <w:u w:val="single"/>
        </w:rPr>
      </w:pPr>
      <w:r w:rsidRPr="00455D3A">
        <w:rPr>
          <w:rFonts w:ascii="Arial" w:hAnsi="Arial" w:cs="Arial"/>
          <w:sz w:val="20"/>
          <w:szCs w:val="20"/>
          <w:u w:val="single"/>
        </w:rPr>
        <w:t>Por su parte el Instituto Nacional de Estadística y Geografía (</w:t>
      </w:r>
      <w:proofErr w:type="spellStart"/>
      <w:r w:rsidRPr="00455D3A">
        <w:rPr>
          <w:rFonts w:ascii="Arial" w:hAnsi="Arial" w:cs="Arial"/>
          <w:sz w:val="20"/>
          <w:szCs w:val="20"/>
          <w:u w:val="single"/>
        </w:rPr>
        <w:t>Inegi</w:t>
      </w:r>
      <w:proofErr w:type="spellEnd"/>
      <w:r w:rsidRPr="00455D3A">
        <w:rPr>
          <w:rFonts w:ascii="Arial" w:hAnsi="Arial" w:cs="Arial"/>
          <w:sz w:val="20"/>
          <w:szCs w:val="20"/>
          <w:u w:val="single"/>
        </w:rPr>
        <w:t>) reportó que</w:t>
      </w:r>
      <w:hyperlink r:id="rId8" w:history="1">
        <w:r w:rsidRPr="00455D3A">
          <w:rPr>
            <w:rFonts w:ascii="Arial" w:hAnsi="Arial" w:cs="Arial"/>
            <w:sz w:val="20"/>
            <w:szCs w:val="20"/>
            <w:u w:val="single"/>
          </w:rPr>
          <w:t> la economía mexicana creció 0.8% en el primer trimestre del año</w:t>
        </w:r>
      </w:hyperlink>
      <w:r w:rsidRPr="00455D3A">
        <w:rPr>
          <w:rFonts w:ascii="Arial" w:hAnsi="Arial" w:cs="Arial"/>
          <w:sz w:val="20"/>
          <w:szCs w:val="20"/>
          <w:u w:val="single"/>
        </w:rPr>
        <w:t>, cifra mayor al avance de 0.5% de los últimos tres meses de 2015</w:t>
      </w:r>
      <w:r>
        <w:rPr>
          <w:rFonts w:ascii="Arial" w:hAnsi="Arial" w:cs="Arial"/>
          <w:sz w:val="20"/>
          <w:szCs w:val="20"/>
          <w:u w:val="single"/>
        </w:rPr>
        <w:t>.</w:t>
      </w:r>
    </w:p>
    <w:p w:rsidR="00455D3A" w:rsidRDefault="00455D3A" w:rsidP="00455D3A">
      <w:pPr>
        <w:rPr>
          <w:rFonts w:ascii="Arial" w:hAnsi="Arial" w:cs="Arial"/>
          <w:sz w:val="20"/>
          <w:szCs w:val="20"/>
          <w:u w:val="single"/>
        </w:rPr>
      </w:pPr>
      <w:r w:rsidRPr="00455D3A">
        <w:rPr>
          <w:rFonts w:ascii="Arial" w:hAnsi="Arial" w:cs="Arial"/>
          <w:sz w:val="20"/>
          <w:szCs w:val="20"/>
          <w:u w:val="single"/>
        </w:rPr>
        <w:t>Inflación</w:t>
      </w:r>
    </w:p>
    <w:p w:rsidR="00455D3A" w:rsidRDefault="00455D3A" w:rsidP="00455D3A">
      <w:pPr>
        <w:rPr>
          <w:rFonts w:ascii="Arial" w:hAnsi="Arial" w:cs="Arial"/>
          <w:sz w:val="20"/>
          <w:szCs w:val="20"/>
          <w:u w:val="single"/>
        </w:rPr>
      </w:pPr>
      <w:r w:rsidRPr="00455D3A">
        <w:rPr>
          <w:rFonts w:ascii="Arial" w:hAnsi="Arial" w:cs="Arial"/>
          <w:sz w:val="20"/>
          <w:szCs w:val="20"/>
          <w:u w:val="single"/>
        </w:rPr>
        <w:t>El Banco de México espera que la inflación general para México seguirá ubicándose durante los siguientes meses por debajo del 3%.</w:t>
      </w:r>
    </w:p>
    <w:p w:rsidR="00455D3A" w:rsidRDefault="00455D3A" w:rsidP="00455D3A">
      <w:pPr>
        <w:rPr>
          <w:rFonts w:ascii="Arial" w:hAnsi="Arial" w:cs="Arial"/>
          <w:sz w:val="20"/>
          <w:szCs w:val="20"/>
          <w:u w:val="single"/>
        </w:rPr>
      </w:pPr>
      <w:r w:rsidRPr="00455D3A">
        <w:rPr>
          <w:rFonts w:ascii="Arial" w:hAnsi="Arial" w:cs="Arial"/>
          <w:sz w:val="20"/>
          <w:szCs w:val="20"/>
          <w:u w:val="single"/>
        </w:rPr>
        <w:t>Banxico destacó que si bien a finales del presente año se podría llegar a superar moderadamente dicha cifra, como consecuencia de ciertos factores transitorios, se estima que promedie prácticamente 3% para el año en su conjunto.</w:t>
      </w:r>
    </w:p>
    <w:p w:rsidR="00455D3A" w:rsidRDefault="00455D3A" w:rsidP="00455D3A">
      <w:pPr>
        <w:rPr>
          <w:rFonts w:ascii="Arial" w:hAnsi="Arial" w:cs="Arial"/>
          <w:sz w:val="20"/>
          <w:szCs w:val="20"/>
          <w:u w:val="single"/>
        </w:rPr>
      </w:pPr>
      <w:r w:rsidRPr="00455D3A">
        <w:rPr>
          <w:rFonts w:ascii="Arial" w:hAnsi="Arial" w:cs="Arial"/>
          <w:sz w:val="20"/>
          <w:szCs w:val="20"/>
          <w:u w:val="single"/>
        </w:rPr>
        <w:t xml:space="preserve">El Banco central prevé que la inflación </w:t>
      </w:r>
      <w:proofErr w:type="spellStart"/>
      <w:r w:rsidRPr="00455D3A">
        <w:rPr>
          <w:rFonts w:ascii="Arial" w:hAnsi="Arial" w:cs="Arial"/>
          <w:sz w:val="20"/>
          <w:szCs w:val="20"/>
          <w:u w:val="single"/>
        </w:rPr>
        <w:t>subyacent</w:t>
      </w:r>
      <w:proofErr w:type="spellEnd"/>
      <w:r w:rsidRPr="00455D3A">
        <w:rPr>
          <w:rFonts w:ascii="Arial" w:hAnsi="Arial" w:cs="Arial"/>
          <w:sz w:val="20"/>
          <w:szCs w:val="20"/>
          <w:u w:val="single"/>
        </w:rPr>
        <w:t xml:space="preserve"> anual, que elimina precios volátiles como los energéticos y alimentos, aumente gradualmente y cierre el año en niveles cercanos a 3%.</w:t>
      </w:r>
    </w:p>
    <w:p w:rsidR="00455D3A" w:rsidRDefault="00455D3A" w:rsidP="00455D3A">
      <w:pPr>
        <w:rPr>
          <w:rFonts w:ascii="Arial" w:hAnsi="Arial" w:cs="Arial"/>
          <w:sz w:val="20"/>
          <w:szCs w:val="20"/>
          <w:u w:val="single"/>
        </w:rPr>
      </w:pPr>
      <w:r w:rsidRPr="00455D3A">
        <w:rPr>
          <w:rFonts w:ascii="Arial" w:hAnsi="Arial" w:cs="Arial"/>
          <w:sz w:val="20"/>
          <w:szCs w:val="20"/>
          <w:u w:val="single"/>
        </w:rPr>
        <w:t>Para 2017 se anticipa que tanto la inflación general, como la subyacente, se ubiquen alrededor de la meta permanente.</w:t>
      </w:r>
    </w:p>
    <w:p w:rsidR="00455D3A" w:rsidRDefault="00455D3A" w:rsidP="00455D3A">
      <w:pPr>
        <w:rPr>
          <w:rFonts w:ascii="Arial" w:hAnsi="Arial" w:cs="Arial"/>
          <w:sz w:val="20"/>
          <w:szCs w:val="20"/>
          <w:u w:val="single"/>
        </w:rPr>
      </w:pPr>
      <w:r w:rsidRPr="00455D3A">
        <w:rPr>
          <w:rFonts w:ascii="Arial" w:hAnsi="Arial" w:cs="Arial"/>
          <w:sz w:val="20"/>
          <w:szCs w:val="20"/>
          <w:u w:val="single"/>
        </w:rPr>
        <w:t>“Si bien las condiciones en los mercados financieros internacionales registraron una mejoría a partir de la segunda mitad del primer trimestre, no se pueden descartar nuevos episodios de volatilidad, sobre todo ante la incertidumbre prevaleciente sobre las perspectivas de crecimiento de la economía mundial y del posible impacto sobre la estabilidad financiera global de políticas monetarias divergentes entre las principales economías avanzadas”, dijo Banxico en su informe.</w:t>
      </w:r>
    </w:p>
    <w:p w:rsidR="00455D3A" w:rsidRDefault="00455D3A" w:rsidP="00455D3A">
      <w:pPr>
        <w:rPr>
          <w:rFonts w:ascii="Arial" w:hAnsi="Arial" w:cs="Arial"/>
          <w:sz w:val="20"/>
          <w:szCs w:val="20"/>
          <w:u w:val="single"/>
        </w:rPr>
      </w:pPr>
      <w:r w:rsidRPr="00455D3A">
        <w:rPr>
          <w:rFonts w:ascii="Arial" w:hAnsi="Arial" w:cs="Arial"/>
          <w:sz w:val="20"/>
          <w:szCs w:val="20"/>
          <w:u w:val="single"/>
        </w:rPr>
        <w:t>Intervención en caso excepcional</w:t>
      </w:r>
    </w:p>
    <w:p w:rsidR="00455D3A" w:rsidRDefault="00455D3A" w:rsidP="00455D3A">
      <w:pPr>
        <w:rPr>
          <w:rFonts w:ascii="Arial" w:hAnsi="Arial" w:cs="Arial"/>
          <w:sz w:val="20"/>
          <w:szCs w:val="20"/>
          <w:u w:val="single"/>
        </w:rPr>
      </w:pPr>
      <w:r w:rsidRPr="00455D3A">
        <w:rPr>
          <w:rFonts w:ascii="Arial" w:hAnsi="Arial" w:cs="Arial"/>
          <w:sz w:val="20"/>
          <w:szCs w:val="20"/>
          <w:u w:val="single"/>
        </w:rPr>
        <w:t>El peso mexicano no es objeto de un ataque especulativo, pero las autoridades podrían intervenir discrecionalmente en el mercado cambiario en alguna situación excepcional, dijo el miércoles el gobernador del Banco central, Agustín Carstens.</w:t>
      </w:r>
    </w:p>
    <w:p w:rsidR="00455D3A" w:rsidRDefault="00455D3A" w:rsidP="00455D3A">
      <w:pPr>
        <w:rPr>
          <w:rFonts w:ascii="Arial" w:hAnsi="Arial" w:cs="Arial"/>
          <w:sz w:val="20"/>
          <w:szCs w:val="20"/>
          <w:u w:val="single"/>
        </w:rPr>
      </w:pPr>
      <w:r w:rsidRPr="00455D3A">
        <w:rPr>
          <w:rFonts w:ascii="Arial" w:hAnsi="Arial" w:cs="Arial"/>
          <w:sz w:val="20"/>
          <w:szCs w:val="20"/>
          <w:u w:val="single"/>
        </w:rPr>
        <w:t>Carstens agregó que los mercados financieros están operando relativamente bien y que la depreciación de la moneda no es un fenómeno exclusivo de México.</w:t>
      </w:r>
    </w:p>
    <w:p w:rsidR="00455D3A" w:rsidRDefault="00455D3A" w:rsidP="00455D3A">
      <w:pPr>
        <w:rPr>
          <w:rFonts w:ascii="Arial" w:hAnsi="Arial" w:cs="Arial"/>
          <w:sz w:val="20"/>
          <w:szCs w:val="20"/>
          <w:u w:val="single"/>
        </w:rPr>
      </w:pPr>
      <w:r w:rsidRPr="00455D3A">
        <w:rPr>
          <w:rFonts w:ascii="Arial" w:hAnsi="Arial" w:cs="Arial"/>
          <w:sz w:val="20"/>
          <w:szCs w:val="20"/>
          <w:u w:val="single"/>
        </w:rPr>
        <w:t>"Los ataques especulativos normalmente se presentan cuando se está especulando en contra de una decisión que toma el banco central y en este caso no lo estamos viendo", afirmó el banquero central.</w:t>
      </w:r>
    </w:p>
    <w:p w:rsidR="00455D3A" w:rsidRDefault="00455D3A" w:rsidP="00455D3A">
      <w:pPr>
        <w:rPr>
          <w:rFonts w:ascii="Arial" w:hAnsi="Arial" w:cs="Arial"/>
          <w:sz w:val="20"/>
          <w:szCs w:val="20"/>
          <w:u w:val="single"/>
        </w:rPr>
      </w:pPr>
      <w:r w:rsidRPr="00455D3A">
        <w:rPr>
          <w:rFonts w:ascii="Arial" w:hAnsi="Arial" w:cs="Arial"/>
          <w:sz w:val="20"/>
          <w:szCs w:val="20"/>
          <w:u w:val="single"/>
        </w:rPr>
        <w:t>El peso mexicano ha perdido alrededor de un 7% este mes, el segundo peor desempeño de entre las 36 monedas más negociadas del mundo, sólo detrás del rand sudafricano, de acuerdo con Reuters.</w:t>
      </w:r>
    </w:p>
    <w:p w:rsidR="00455D3A" w:rsidRDefault="00455D3A" w:rsidP="00455D3A">
      <w:pPr>
        <w:rPr>
          <w:rFonts w:ascii="Arial" w:hAnsi="Arial" w:cs="Arial"/>
          <w:sz w:val="20"/>
          <w:szCs w:val="20"/>
          <w:u w:val="single"/>
        </w:rPr>
      </w:pPr>
      <w:r w:rsidRPr="00455D3A">
        <w:rPr>
          <w:rFonts w:ascii="Arial" w:hAnsi="Arial" w:cs="Arial"/>
          <w:sz w:val="20"/>
          <w:szCs w:val="20"/>
          <w:u w:val="single"/>
        </w:rPr>
        <w:t>Carstens dijo que la junta de gobierno del Banco central vigilará de cerca el desempeño del peso y su posible traspaso a los precios al consumidor.</w:t>
      </w:r>
    </w:p>
    <w:p w:rsidR="00455D3A" w:rsidRDefault="00455D3A" w:rsidP="00455D3A">
      <w:pPr>
        <w:rPr>
          <w:rFonts w:ascii="Arial" w:hAnsi="Arial" w:cs="Arial"/>
          <w:sz w:val="20"/>
          <w:szCs w:val="20"/>
          <w:u w:val="single"/>
        </w:rPr>
      </w:pPr>
      <w:r w:rsidRPr="00455D3A">
        <w:rPr>
          <w:rFonts w:ascii="Arial" w:hAnsi="Arial" w:cs="Arial"/>
          <w:sz w:val="20"/>
          <w:szCs w:val="20"/>
          <w:u w:val="single"/>
        </w:rPr>
        <w:lastRenderedPageBreak/>
        <w:t>El banco central subió en febrero sorpresivamente la tasa clave de interés en 50 puntos base a 3.75%, en una decisión unánime orientada a frenar la depreciación del peso, que amenaza con acelerar a la inflación.</w:t>
      </w:r>
    </w:p>
    <w:p w:rsidR="00455D3A" w:rsidRDefault="00AF46FE" w:rsidP="00455D3A">
      <w:pPr>
        <w:rPr>
          <w:rFonts w:cs="Calibri"/>
          <w:b/>
        </w:rPr>
      </w:pPr>
      <w:hyperlink r:id="rId9" w:history="1">
        <w:r w:rsidR="00455D3A" w:rsidRPr="00455D3A">
          <w:rPr>
            <w:rFonts w:ascii="Arial" w:hAnsi="Arial" w:cs="Arial"/>
          </w:rPr>
          <w:t>http://expansion.mx/economia/2016/05/25/banxico-recorta-su-pronostico-de-crecimiento-economico-para-2017</w:t>
        </w:r>
      </w:hyperlink>
    </w:p>
    <w:p w:rsidR="00455D3A" w:rsidRDefault="00455D3A" w:rsidP="00455D3A">
      <w:pPr>
        <w:rPr>
          <w:rFonts w:cs="Calibri"/>
          <w:b/>
        </w:rPr>
      </w:pPr>
      <w:r w:rsidRPr="00455D3A">
        <w:rPr>
          <w:rFonts w:ascii="Arial" w:hAnsi="Arial" w:cs="Arial"/>
          <w:sz w:val="20"/>
          <w:szCs w:val="20"/>
          <w:u w:val="single"/>
        </w:rPr>
        <w:t>Más sin embargo el Organismo Operador en el momento de la elaboración y proyección del presupuesto 2017 está ubicada en números negros y sin pasivos que no puedan solventarse de manera inmediata, cabe mencionar que la deuda pública fue liquidada en Febrero del 2016, por lo que actualmente no se cuenta con Deuda.</w:t>
      </w:r>
    </w:p>
    <w:p w:rsidR="00455D3A" w:rsidRDefault="00455D3A" w:rsidP="00455D3A">
      <w:pPr>
        <w:rPr>
          <w:rFonts w:cs="Calibri"/>
          <w:b/>
        </w:rPr>
      </w:pPr>
      <w:r w:rsidRPr="00455D3A">
        <w:rPr>
          <w:rFonts w:ascii="Arial" w:hAnsi="Arial" w:cs="Arial"/>
          <w:sz w:val="20"/>
          <w:szCs w:val="20"/>
          <w:u w:val="single"/>
        </w:rPr>
        <w:t>Se ha manifestado durante el histórico que los Ingresos han rebasado la expectativa del propio presupuesto de ingresos lo cual se ha manifestado en la Ejecución de la Ampliación de Obras en beneficio de la ciudadanía celayense.</w:t>
      </w:r>
    </w:p>
    <w:p w:rsidR="00455D3A" w:rsidRPr="00455D3A" w:rsidRDefault="00455D3A" w:rsidP="00455D3A">
      <w:pPr>
        <w:rPr>
          <w:rFonts w:cs="Calibri"/>
          <w:b/>
        </w:rPr>
      </w:pPr>
      <w:r w:rsidRPr="00455D3A">
        <w:rPr>
          <w:rFonts w:ascii="Arial" w:hAnsi="Arial" w:cs="Arial"/>
          <w:sz w:val="20"/>
          <w:szCs w:val="20"/>
          <w:u w:val="single"/>
        </w:rPr>
        <w:t xml:space="preserve">La presente Proyección de Presupuesto de Egresos establece contribuciones ajustadas a la realidad económica del País con incrementos de un 4 % en la mayoría de los rubros Gastos considerando el índice inflacionario, así como en el Rubro de Servicios Personales se consideró incremento general del 4% a sueldo, algunas nivelaciones, 19 nuevas plazas. </w:t>
      </w:r>
    </w:p>
    <w:p w:rsidR="003F4302" w:rsidRPr="00E74967" w:rsidRDefault="003F4302" w:rsidP="003F4302">
      <w:pPr>
        <w:rPr>
          <w:rFonts w:cs="Calibri"/>
          <w:b/>
        </w:rPr>
      </w:pPr>
      <w:r w:rsidRPr="00E74967">
        <w:rPr>
          <w:rFonts w:cs="Calibri"/>
          <w:b/>
        </w:rPr>
        <w:t>3. Autorización e Historia:</w:t>
      </w:r>
    </w:p>
    <w:p w:rsidR="003F4302" w:rsidRPr="00E74967" w:rsidRDefault="003F4302" w:rsidP="003F4302">
      <w:pPr>
        <w:rPr>
          <w:rFonts w:cs="Calibri"/>
        </w:rPr>
      </w:pPr>
      <w:r w:rsidRPr="00E74967">
        <w:rPr>
          <w:rFonts w:cs="Calibri"/>
        </w:rPr>
        <w:t>Se informará sobre:</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a)</w:t>
      </w:r>
      <w:r w:rsidRPr="00E74967">
        <w:rPr>
          <w:rFonts w:cs="Calibri"/>
        </w:rPr>
        <w:t xml:space="preserve"> Fecha de creación del ente.</w:t>
      </w:r>
    </w:p>
    <w:p w:rsidR="003F4302" w:rsidRPr="00E61462" w:rsidRDefault="003F4302" w:rsidP="003F4302">
      <w:pPr>
        <w:rPr>
          <w:rFonts w:ascii="Arial" w:hAnsi="Arial" w:cs="Arial"/>
          <w:sz w:val="20"/>
          <w:szCs w:val="20"/>
          <w:u w:val="single"/>
        </w:rPr>
      </w:pPr>
      <w:r>
        <w:rPr>
          <w:rFonts w:ascii="Arial" w:hAnsi="Arial" w:cs="Arial"/>
          <w:sz w:val="20"/>
          <w:szCs w:val="20"/>
          <w:u w:val="single"/>
        </w:rPr>
        <w:t>06 de Enero de 1984.</w:t>
      </w:r>
    </w:p>
    <w:p w:rsidR="003F4302" w:rsidRPr="00E74967" w:rsidRDefault="003F4302" w:rsidP="003F4302">
      <w:pPr>
        <w:rPr>
          <w:rFonts w:cs="Calibri"/>
        </w:rPr>
      </w:pPr>
    </w:p>
    <w:p w:rsidR="003F4302" w:rsidRDefault="003F4302" w:rsidP="003F4302">
      <w:pPr>
        <w:rPr>
          <w:rFonts w:cs="Calibri"/>
        </w:rPr>
      </w:pPr>
      <w:r w:rsidRPr="00E74967">
        <w:rPr>
          <w:rFonts w:cs="Calibri"/>
          <w:b/>
        </w:rPr>
        <w:t>b)</w:t>
      </w:r>
      <w:r w:rsidRPr="00E74967">
        <w:rPr>
          <w:rFonts w:cs="Calibri"/>
        </w:rPr>
        <w:t xml:space="preserve"> Principales cambios en su estructura (interna históricamente).</w:t>
      </w:r>
    </w:p>
    <w:p w:rsidR="003F4302" w:rsidRPr="00E74967" w:rsidRDefault="003F4302" w:rsidP="003F4302">
      <w:pPr>
        <w:rPr>
          <w:rFonts w:cs="Calibri"/>
        </w:rPr>
      </w:pPr>
    </w:p>
    <w:p w:rsidR="003F4302" w:rsidRPr="00E056CB" w:rsidRDefault="003F4302" w:rsidP="003F4302">
      <w:pPr>
        <w:widowControl w:val="0"/>
        <w:autoSpaceDE w:val="0"/>
        <w:autoSpaceDN w:val="0"/>
        <w:adjustRightInd w:val="0"/>
        <w:rPr>
          <w:rFonts w:ascii="Arial" w:hAnsi="Arial" w:cs="Arial"/>
          <w:sz w:val="20"/>
          <w:szCs w:val="20"/>
          <w:u w:val="single"/>
        </w:rPr>
      </w:pPr>
      <w:r w:rsidRPr="00E056CB">
        <w:rPr>
          <w:rFonts w:ascii="Arial" w:hAnsi="Arial" w:cs="Arial"/>
          <w:sz w:val="20"/>
          <w:szCs w:val="20"/>
          <w:u w:val="single"/>
        </w:rPr>
        <w:t>En 1983 en  sesión de Ayuntamiento se aprobó la creación  de un Organismo que resolviera los problemas que implica el dotar de agua potable y alcantarillado.</w:t>
      </w:r>
    </w:p>
    <w:p w:rsidR="003F4302" w:rsidRPr="00E056CB" w:rsidRDefault="003F4302" w:rsidP="003F4302">
      <w:pPr>
        <w:widowControl w:val="0"/>
        <w:autoSpaceDE w:val="0"/>
        <w:autoSpaceDN w:val="0"/>
        <w:adjustRightInd w:val="0"/>
        <w:rPr>
          <w:rFonts w:ascii="Arial" w:hAnsi="Arial" w:cs="Arial"/>
          <w:sz w:val="20"/>
          <w:szCs w:val="20"/>
          <w:u w:val="single"/>
        </w:rPr>
      </w:pPr>
      <w:r w:rsidRPr="00E056CB">
        <w:rPr>
          <w:rFonts w:ascii="Arial" w:hAnsi="Arial" w:cs="Arial"/>
          <w:sz w:val="20"/>
          <w:szCs w:val="20"/>
          <w:u w:val="single"/>
        </w:rPr>
        <w:t>En 1984 se constituyo legalmente JUMAPA y se acordó  que este Organismo se encargaría   de administrar los sistemas de agua potable alcantarillado y saneamiento del Municipio  se determinó que al organismo le competía la detección, extracción, conducción y potabilización del agua así como la planeación,  construcción, operación y mantenimiento de las redes  y la compra del equipo necesario para el suministro del vital liquido.</w:t>
      </w:r>
    </w:p>
    <w:p w:rsidR="003F4302" w:rsidRDefault="003F4302" w:rsidP="003F4302">
      <w:pPr>
        <w:widowControl w:val="0"/>
        <w:autoSpaceDE w:val="0"/>
        <w:autoSpaceDN w:val="0"/>
        <w:adjustRightInd w:val="0"/>
        <w:rPr>
          <w:rFonts w:ascii="Arial" w:hAnsi="Arial" w:cs="Arial"/>
          <w:sz w:val="20"/>
          <w:szCs w:val="20"/>
          <w:u w:val="single"/>
        </w:rPr>
      </w:pPr>
      <w:r w:rsidRPr="00E056CB">
        <w:rPr>
          <w:rFonts w:ascii="Arial" w:hAnsi="Arial" w:cs="Arial"/>
          <w:sz w:val="20"/>
          <w:szCs w:val="20"/>
          <w:u w:val="single"/>
        </w:rPr>
        <w:t xml:space="preserve"> En 1988 se inauguraron las primeras Instalaciones de la JUNTA MUNICIPAL DE AGUA POTABLE Y ALCANTARILLADO DE CELAYA</w:t>
      </w:r>
      <w:r>
        <w:rPr>
          <w:rFonts w:ascii="Arial" w:hAnsi="Arial" w:cs="Arial"/>
          <w:sz w:val="20"/>
          <w:szCs w:val="20"/>
          <w:u w:val="single"/>
        </w:rPr>
        <w:t>, GTO</w:t>
      </w:r>
      <w:r w:rsidRPr="00E056CB">
        <w:rPr>
          <w:rFonts w:ascii="Arial" w:hAnsi="Arial" w:cs="Arial"/>
          <w:sz w:val="20"/>
          <w:szCs w:val="20"/>
          <w:u w:val="single"/>
        </w:rPr>
        <w:t xml:space="preserve"> ubicadas  en Boulevard Adolfo López Mateos No 512-B .se acordó con la Presidencia Municipal de Celaya la transferencia de varios trabajadores Adscritos a la Dirección de Obras Municipales, los cuales fueron distribuidos en los nuevos departamentos de Redes, alcantarillado, Operación de pozos, informática, Recursos Humanos etc. según el perfil </w:t>
      </w:r>
      <w:r w:rsidRPr="00E056CB">
        <w:rPr>
          <w:rFonts w:ascii="Arial" w:hAnsi="Arial" w:cs="Arial"/>
          <w:sz w:val="20"/>
          <w:szCs w:val="20"/>
          <w:u w:val="single"/>
        </w:rPr>
        <w:lastRenderedPageBreak/>
        <w:t>de cada uno formando así la Estructura Organizacional , además se creó el 1° Consejo Directivo.</w:t>
      </w:r>
    </w:p>
    <w:p w:rsidR="003F4302" w:rsidRPr="00E02212" w:rsidRDefault="003F4302" w:rsidP="003F4302">
      <w:pPr>
        <w:widowControl w:val="0"/>
        <w:autoSpaceDE w:val="0"/>
        <w:autoSpaceDN w:val="0"/>
        <w:adjustRightInd w:val="0"/>
        <w:rPr>
          <w:rFonts w:ascii="Arial" w:hAnsi="Arial" w:cs="Arial"/>
          <w:sz w:val="20"/>
          <w:szCs w:val="20"/>
          <w:u w:val="single"/>
        </w:rPr>
      </w:pPr>
      <w:r w:rsidRPr="00E02212">
        <w:rPr>
          <w:rFonts w:ascii="Arial" w:hAnsi="Arial" w:cs="Arial"/>
          <w:sz w:val="20"/>
          <w:szCs w:val="20"/>
          <w:u w:val="single"/>
        </w:rPr>
        <w:t>Posteriormente en 1991 las oficinas se cambiaron a Privada Venustiano Carranza No. 119 y fue en 1999 cuando se adquirió el inmueble donde se ubican las nuevas oficinas de JUMAPA en división del Norte No. 134 col. el Vergel  donde debido al crecimiento de la ciudad y las necesidades del Organismo  Se abrieron cuatro sucursales ubicadas en  varios puntos de la ciudad para beneficio de los ciudadanos una está en la calle Antonia Nava s/n frente al mercado de cañitos ,otra en plaza veleros, otra en plaza Celaya, y en la Presidencia Municipal</w:t>
      </w:r>
    </w:p>
    <w:p w:rsidR="003F4302" w:rsidRDefault="003F4302" w:rsidP="003F4302">
      <w:pPr>
        <w:widowControl w:val="0"/>
        <w:autoSpaceDE w:val="0"/>
        <w:autoSpaceDN w:val="0"/>
        <w:adjustRightInd w:val="0"/>
        <w:rPr>
          <w:rFonts w:ascii="Arial" w:hAnsi="Arial" w:cs="Arial"/>
          <w:sz w:val="20"/>
          <w:szCs w:val="20"/>
          <w:u w:val="single"/>
        </w:rPr>
      </w:pPr>
      <w:r w:rsidRPr="00E056CB">
        <w:rPr>
          <w:rFonts w:ascii="Arial" w:hAnsi="Arial" w:cs="Arial"/>
          <w:sz w:val="20"/>
          <w:szCs w:val="20"/>
          <w:u w:val="single"/>
        </w:rPr>
        <w:t>A través de los Años y según las necesidades del Organismo se fue modificando y actualizando la Estructura Orgánica en la siguiente tabla se pueden observar los cambios más significativos</w:t>
      </w:r>
    </w:p>
    <w:p w:rsidR="003F4302" w:rsidRPr="00E056CB" w:rsidRDefault="003F4302" w:rsidP="003F4302">
      <w:pPr>
        <w:widowControl w:val="0"/>
        <w:autoSpaceDE w:val="0"/>
        <w:autoSpaceDN w:val="0"/>
        <w:adjustRightInd w:val="0"/>
        <w:rPr>
          <w:rFonts w:ascii="Arial" w:hAnsi="Arial" w:cs="Arial"/>
          <w:sz w:val="20"/>
          <w:szCs w:val="20"/>
          <w:u w:val="single"/>
        </w:rPr>
      </w:pPr>
    </w:p>
    <w:tbl>
      <w:tblPr>
        <w:tblW w:w="994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418"/>
        <w:gridCol w:w="1417"/>
        <w:gridCol w:w="1418"/>
        <w:gridCol w:w="1458"/>
        <w:gridCol w:w="1468"/>
      </w:tblGrid>
      <w:tr w:rsidR="003F4302" w:rsidRPr="00E056CB" w:rsidTr="00455D3A">
        <w:trPr>
          <w:trHeight w:val="64"/>
        </w:trPr>
        <w:tc>
          <w:tcPr>
            <w:tcW w:w="1348" w:type="dxa"/>
          </w:tcPr>
          <w:p w:rsidR="003F4302" w:rsidRPr="00E056CB" w:rsidRDefault="003F4302" w:rsidP="00A16E6B">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1988-1991</w:t>
            </w:r>
          </w:p>
        </w:tc>
        <w:tc>
          <w:tcPr>
            <w:tcW w:w="1417" w:type="dxa"/>
            <w:gridSpan w:val="2"/>
          </w:tcPr>
          <w:p w:rsidR="003F4302" w:rsidRPr="00E056CB" w:rsidRDefault="003F4302" w:rsidP="00A16E6B">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1992-2002</w:t>
            </w:r>
          </w:p>
        </w:tc>
        <w:tc>
          <w:tcPr>
            <w:tcW w:w="1418" w:type="dxa"/>
          </w:tcPr>
          <w:p w:rsidR="003F4302" w:rsidRPr="00E056CB" w:rsidRDefault="003F4302" w:rsidP="00A16E6B">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tcPr>
          <w:p w:rsidR="003F4302" w:rsidRPr="00E056CB" w:rsidRDefault="003F4302" w:rsidP="00A16E6B">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tcPr>
          <w:p w:rsidR="003F4302" w:rsidRPr="00E056CB" w:rsidRDefault="003F4302" w:rsidP="00A16E6B">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tcPr>
          <w:p w:rsidR="003F4302" w:rsidRPr="00E056CB" w:rsidRDefault="003F4302" w:rsidP="00A16E6B">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468" w:type="dxa"/>
          </w:tcPr>
          <w:p w:rsidR="003F4302" w:rsidRPr="00E056CB" w:rsidRDefault="003F4302" w:rsidP="00A16E6B">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455D3A" w:rsidRPr="00E056CB" w:rsidTr="00455D3A">
        <w:trPr>
          <w:trHeight w:val="259"/>
        </w:trPr>
        <w:tc>
          <w:tcPr>
            <w:tcW w:w="1348" w:type="dxa"/>
          </w:tcPr>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rsidR="00455D3A" w:rsidRPr="00E056CB" w:rsidRDefault="00455D3A" w:rsidP="00A16E6B">
            <w:pPr>
              <w:widowControl w:val="0"/>
              <w:autoSpaceDE w:val="0"/>
              <w:autoSpaceDN w:val="0"/>
              <w:adjustRightInd w:val="0"/>
              <w:ind w:left="720"/>
              <w:contextualSpacing/>
              <w:rPr>
                <w:rFonts w:ascii="Arial" w:hAnsi="Arial" w:cs="Arial"/>
                <w:sz w:val="10"/>
                <w:szCs w:val="10"/>
              </w:rPr>
            </w:pPr>
          </w:p>
        </w:tc>
        <w:tc>
          <w:tcPr>
            <w:tcW w:w="1418" w:type="dxa"/>
          </w:tcPr>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tcPr>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tcPr>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tcPr>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468" w:type="dxa"/>
          </w:tcPr>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455D3A" w:rsidRPr="00E056CB" w:rsidTr="00455D3A">
        <w:trPr>
          <w:trHeight w:val="59"/>
        </w:trPr>
        <w:tc>
          <w:tcPr>
            <w:tcW w:w="1348" w:type="dxa"/>
          </w:tcPr>
          <w:p w:rsidR="00455D3A" w:rsidRPr="00E056CB" w:rsidRDefault="00455D3A" w:rsidP="00455D3A">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rsidR="00455D3A" w:rsidRPr="00E056CB" w:rsidRDefault="00455D3A" w:rsidP="00A16E6B">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tcPr>
          <w:p w:rsidR="00455D3A" w:rsidRPr="00E056CB" w:rsidRDefault="00455D3A" w:rsidP="00A16E6B">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tcPr>
          <w:p w:rsidR="00455D3A" w:rsidRPr="00E056CB" w:rsidRDefault="00455D3A" w:rsidP="00A16E6B">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tcPr>
          <w:p w:rsidR="00455D3A" w:rsidRPr="00E056CB" w:rsidRDefault="00455D3A" w:rsidP="00A16E6B">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tcPr>
          <w:p w:rsidR="00455D3A" w:rsidRPr="00E056CB" w:rsidRDefault="00455D3A" w:rsidP="00A16E6B">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468" w:type="dxa"/>
          </w:tcPr>
          <w:p w:rsidR="00455D3A" w:rsidRPr="00E056CB" w:rsidRDefault="00455D3A" w:rsidP="001F1643">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4 – 2015</w:t>
            </w:r>
          </w:p>
        </w:tc>
      </w:tr>
      <w:tr w:rsidR="00455D3A" w:rsidRPr="00E056CB" w:rsidTr="00455D3A">
        <w:trPr>
          <w:trHeight w:val="103"/>
        </w:trPr>
        <w:tc>
          <w:tcPr>
            <w:tcW w:w="1348" w:type="dxa"/>
          </w:tcPr>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tcPr>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tcPr>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tcPr>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rsidR="00455D3A" w:rsidRPr="00E056CB" w:rsidRDefault="00455D3A" w:rsidP="00A16E6B">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tcPr>
          <w:p w:rsidR="00455D3A" w:rsidRPr="00494586" w:rsidRDefault="00455D3A" w:rsidP="00A16E6B">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rsidR="00455D3A" w:rsidRPr="00494586" w:rsidRDefault="00455D3A" w:rsidP="00A16E6B">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rsidR="00455D3A" w:rsidRPr="00494586" w:rsidRDefault="00455D3A" w:rsidP="00A16E6B">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rsidR="00455D3A" w:rsidRPr="00E056CB" w:rsidRDefault="00455D3A" w:rsidP="00A16E6B">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468" w:type="dxa"/>
          </w:tcPr>
          <w:p w:rsidR="00455D3A" w:rsidRPr="00494586" w:rsidRDefault="00455D3A" w:rsidP="00A16E6B">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rsidR="00455D3A" w:rsidRPr="00494586" w:rsidRDefault="00455D3A" w:rsidP="00A16E6B">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rsidR="00455D3A" w:rsidRPr="00494586" w:rsidRDefault="00455D3A" w:rsidP="00A16E6B">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rsidR="00455D3A" w:rsidRPr="00E056CB" w:rsidRDefault="00455D3A" w:rsidP="00A16E6B">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455D3A" w:rsidRPr="00E056CB" w:rsidTr="00455D3A">
        <w:trPr>
          <w:gridAfter w:val="6"/>
          <w:wAfter w:w="7248" w:type="dxa"/>
          <w:trHeight w:val="59"/>
        </w:trPr>
        <w:tc>
          <w:tcPr>
            <w:tcW w:w="1348" w:type="dxa"/>
          </w:tcPr>
          <w:p w:rsidR="00455D3A" w:rsidRPr="00E056CB" w:rsidRDefault="00455D3A" w:rsidP="00455D3A">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rsidR="00455D3A" w:rsidRPr="00E056CB" w:rsidRDefault="00455D3A" w:rsidP="00455D3A">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r>
      <w:tr w:rsidR="00455D3A" w:rsidRPr="00E056CB" w:rsidTr="00455D3A">
        <w:trPr>
          <w:gridAfter w:val="6"/>
          <w:wAfter w:w="7248" w:type="dxa"/>
          <w:trHeight w:val="710"/>
        </w:trPr>
        <w:tc>
          <w:tcPr>
            <w:tcW w:w="1348" w:type="dxa"/>
          </w:tcPr>
          <w:p w:rsidR="00455D3A" w:rsidRPr="00494586" w:rsidRDefault="00455D3A" w:rsidP="00455D3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rsidR="00455D3A" w:rsidRPr="00494586" w:rsidRDefault="00455D3A" w:rsidP="00455D3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rsidR="00455D3A" w:rsidRPr="00494586" w:rsidRDefault="00455D3A" w:rsidP="00455D3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rsidR="00455D3A" w:rsidRPr="00E056CB" w:rsidRDefault="00455D3A" w:rsidP="00455D3A">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rsidR="00455D3A" w:rsidRPr="00494586" w:rsidRDefault="00455D3A" w:rsidP="00455D3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rsidR="00455D3A" w:rsidRPr="00494586" w:rsidRDefault="00455D3A" w:rsidP="00455D3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rsidR="00455D3A" w:rsidRPr="00494586" w:rsidRDefault="00455D3A" w:rsidP="00455D3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rsidR="00455D3A" w:rsidRPr="00E056CB" w:rsidRDefault="00455D3A" w:rsidP="00455D3A">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r>
    </w:tbl>
    <w:p w:rsidR="003F4302" w:rsidRPr="00E74967" w:rsidRDefault="003F4302" w:rsidP="003F4302">
      <w:pPr>
        <w:rPr>
          <w:rFonts w:cs="Calibri"/>
          <w:b/>
        </w:rPr>
      </w:pPr>
      <w:r w:rsidRPr="00E74967">
        <w:rPr>
          <w:rFonts w:cs="Calibri"/>
          <w:b/>
        </w:rPr>
        <w:t>4. Organización y Objeto Social:</w:t>
      </w:r>
    </w:p>
    <w:p w:rsidR="003F4302" w:rsidRPr="00E74967" w:rsidRDefault="003F4302" w:rsidP="003F4302">
      <w:pPr>
        <w:rPr>
          <w:rFonts w:cs="Calibri"/>
        </w:rPr>
      </w:pPr>
      <w:r w:rsidRPr="00E74967">
        <w:rPr>
          <w:rFonts w:cs="Calibri"/>
        </w:rPr>
        <w:t>Se informará sobre:</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a)</w:t>
      </w:r>
      <w:r w:rsidRPr="00E74967">
        <w:rPr>
          <w:rFonts w:cs="Calibri"/>
        </w:rPr>
        <w:t xml:space="preserve"> Objeto social.</w:t>
      </w:r>
    </w:p>
    <w:p w:rsidR="003F4302" w:rsidRPr="00A36CC2" w:rsidRDefault="003F4302" w:rsidP="003F4302">
      <w:pPr>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rsidR="003F4302" w:rsidRPr="00E74967" w:rsidRDefault="003F4302" w:rsidP="003F4302">
      <w:pPr>
        <w:rPr>
          <w:rFonts w:cs="Calibri"/>
        </w:rPr>
      </w:pPr>
    </w:p>
    <w:p w:rsidR="003F4302" w:rsidRDefault="003F4302" w:rsidP="003F4302">
      <w:pPr>
        <w:rPr>
          <w:rFonts w:cs="Calibri"/>
        </w:rPr>
      </w:pPr>
      <w:r w:rsidRPr="00E74967">
        <w:rPr>
          <w:rFonts w:cs="Calibri"/>
          <w:b/>
        </w:rPr>
        <w:t>b)</w:t>
      </w:r>
      <w:r w:rsidRPr="00E74967">
        <w:rPr>
          <w:rFonts w:cs="Calibri"/>
        </w:rPr>
        <w:t xml:space="preserve"> Principal actividad.</w:t>
      </w:r>
    </w:p>
    <w:p w:rsidR="003F4302" w:rsidRPr="00E74967" w:rsidRDefault="003F4302" w:rsidP="003F4302">
      <w:pPr>
        <w:rPr>
          <w:rFonts w:cs="Calibri"/>
        </w:rPr>
      </w:pPr>
    </w:p>
    <w:p w:rsidR="003F4302" w:rsidRPr="00E7588A" w:rsidRDefault="003F4302" w:rsidP="003F4302">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lastRenderedPageBreak/>
        <w:t>c)</w:t>
      </w:r>
      <w:r w:rsidRPr="00E74967">
        <w:rPr>
          <w:rFonts w:cs="Calibri"/>
        </w:rPr>
        <w:t xml:space="preserve"> Ejercicio fiscal (mencionar por ejemplo: enero a diciembre de 201</w:t>
      </w:r>
      <w:r w:rsidR="00A72243">
        <w:rPr>
          <w:rFonts w:cs="Calibri"/>
        </w:rPr>
        <w:t>7</w:t>
      </w:r>
      <w:r w:rsidRPr="00E74967">
        <w:rPr>
          <w:rFonts w:cs="Calibri"/>
        </w:rPr>
        <w:t>).</w:t>
      </w:r>
    </w:p>
    <w:p w:rsidR="003F4302" w:rsidRDefault="003F4302" w:rsidP="003F4302">
      <w:pPr>
        <w:rPr>
          <w:rFonts w:ascii="Arial" w:hAnsi="Arial" w:cs="Arial"/>
          <w:sz w:val="20"/>
          <w:szCs w:val="20"/>
          <w:u w:val="single"/>
        </w:rPr>
      </w:pPr>
    </w:p>
    <w:p w:rsidR="003F4302" w:rsidRDefault="003F4302" w:rsidP="003F4302">
      <w:pPr>
        <w:rPr>
          <w:rFonts w:ascii="Arial" w:hAnsi="Arial" w:cs="Arial"/>
          <w:sz w:val="20"/>
          <w:szCs w:val="20"/>
          <w:u w:val="single"/>
        </w:rPr>
      </w:pPr>
      <w:r w:rsidRPr="00CF5D19">
        <w:rPr>
          <w:rFonts w:ascii="Arial" w:hAnsi="Arial" w:cs="Arial"/>
          <w:sz w:val="20"/>
          <w:szCs w:val="20"/>
          <w:u w:val="single"/>
        </w:rPr>
        <w:t>ENERO A DICIEMBRE 201</w:t>
      </w:r>
      <w:r w:rsidR="00A72243">
        <w:rPr>
          <w:rFonts w:ascii="Arial" w:hAnsi="Arial" w:cs="Arial"/>
          <w:sz w:val="20"/>
          <w:szCs w:val="20"/>
          <w:u w:val="single"/>
        </w:rPr>
        <w:t>7</w:t>
      </w:r>
      <w:r w:rsidRPr="00CF5D19">
        <w:rPr>
          <w:rFonts w:ascii="Arial" w:hAnsi="Arial" w:cs="Arial"/>
          <w:sz w:val="20"/>
          <w:szCs w:val="20"/>
          <w:u w:val="single"/>
        </w:rPr>
        <w:t>.</w:t>
      </w:r>
      <w:r>
        <w:rPr>
          <w:rFonts w:ascii="Arial" w:hAnsi="Arial" w:cs="Arial"/>
          <w:sz w:val="20"/>
          <w:szCs w:val="20"/>
          <w:u w:val="single"/>
        </w:rPr>
        <w:t xml:space="preserve"> </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3F4302" w:rsidRDefault="003F4302" w:rsidP="003F4302">
      <w:pPr>
        <w:rPr>
          <w:rFonts w:ascii="Arial" w:hAnsi="Arial" w:cs="Arial"/>
          <w:sz w:val="20"/>
          <w:szCs w:val="20"/>
          <w:u w:val="single"/>
        </w:rPr>
      </w:pPr>
    </w:p>
    <w:p w:rsidR="003F4302" w:rsidRPr="000D7D75" w:rsidRDefault="003F4302" w:rsidP="003F4302">
      <w:pPr>
        <w:rPr>
          <w:rFonts w:ascii="Arial" w:hAnsi="Arial" w:cs="Arial"/>
          <w:sz w:val="20"/>
          <w:szCs w:val="20"/>
          <w:u w:val="single"/>
        </w:rPr>
      </w:pPr>
      <w:r w:rsidRPr="000D7D75">
        <w:rPr>
          <w:rFonts w:ascii="Arial" w:hAnsi="Arial" w:cs="Arial"/>
          <w:sz w:val="20"/>
          <w:szCs w:val="20"/>
          <w:u w:val="single"/>
        </w:rPr>
        <w:t>Personas Morales sin fines de lucro.</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3F4302" w:rsidRDefault="003F4302" w:rsidP="003F4302">
      <w:pPr>
        <w:rPr>
          <w:rFonts w:ascii="Arial" w:hAnsi="Arial" w:cs="Arial"/>
          <w:b/>
          <w:sz w:val="20"/>
          <w:szCs w:val="20"/>
          <w:u w:val="single"/>
        </w:rPr>
      </w:pPr>
    </w:p>
    <w:p w:rsidR="003F4302" w:rsidRDefault="003F4302" w:rsidP="003F4302">
      <w:pPr>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2% sobre Nominas,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rsidR="003F4302" w:rsidRPr="00E74967" w:rsidRDefault="003F4302" w:rsidP="003F4302">
      <w:pPr>
        <w:rPr>
          <w:rFonts w:cs="Calibri"/>
        </w:rPr>
      </w:pPr>
    </w:p>
    <w:p w:rsidR="003F4302" w:rsidRPr="00A72243" w:rsidRDefault="003F4302" w:rsidP="003F4302">
      <w:pPr>
        <w:rPr>
          <w:rFonts w:cs="Calibri"/>
        </w:rPr>
      </w:pPr>
      <w:r w:rsidRPr="00A72243">
        <w:rPr>
          <w:rFonts w:cs="Calibri"/>
          <w:b/>
        </w:rPr>
        <w:t>f)</w:t>
      </w:r>
      <w:r w:rsidRPr="00A72243">
        <w:rPr>
          <w:rFonts w:cs="Calibri"/>
        </w:rPr>
        <w:t xml:space="preserve"> Estructura organizacional básica.</w:t>
      </w:r>
    </w:p>
    <w:p w:rsidR="003F4302" w:rsidRDefault="003F4302" w:rsidP="003F4302">
      <w:pPr>
        <w:ind w:firstLine="708"/>
        <w:rPr>
          <w:rFonts w:cs="Calibri"/>
        </w:rPr>
      </w:pPr>
      <w:r w:rsidRPr="00A72243">
        <w:rPr>
          <w:rFonts w:cs="Calibri"/>
        </w:rPr>
        <w:t>*Anexar organigrama</w:t>
      </w:r>
      <w:r w:rsidRPr="00E74967">
        <w:rPr>
          <w:rFonts w:cs="Calibri"/>
        </w:rPr>
        <w:t xml:space="preserve"> de la entidad.</w:t>
      </w:r>
    </w:p>
    <w:p w:rsidR="003F4302" w:rsidRDefault="003F4302" w:rsidP="003F4302">
      <w:pPr>
        <w:ind w:firstLine="708"/>
        <w:rPr>
          <w:rFonts w:cs="Calibri"/>
        </w:rPr>
      </w:pPr>
    </w:p>
    <w:p w:rsidR="003F4302" w:rsidRPr="00E74967" w:rsidRDefault="003F4302" w:rsidP="003F4302">
      <w:pPr>
        <w:ind w:firstLine="708"/>
        <w:rPr>
          <w:rFonts w:cs="Calibri"/>
        </w:rPr>
      </w:pPr>
    </w:p>
    <w:p w:rsidR="003F4302" w:rsidRDefault="003F4302" w:rsidP="003F4302">
      <w:pPr>
        <w:rPr>
          <w:rFonts w:cs="Calibri"/>
        </w:rPr>
      </w:pPr>
    </w:p>
    <w:p w:rsidR="003F4302" w:rsidRDefault="003F4302" w:rsidP="003F4302">
      <w:pPr>
        <w:rPr>
          <w:rFonts w:cs="Calibri"/>
        </w:rPr>
      </w:pPr>
    </w:p>
    <w:p w:rsidR="003F4302" w:rsidRDefault="003F4302" w:rsidP="003F4302">
      <w:pPr>
        <w:rPr>
          <w:rFonts w:cs="Calibri"/>
        </w:rPr>
      </w:pPr>
      <w:r>
        <w:rPr>
          <w:rFonts w:cs="Calibri"/>
          <w:noProof/>
          <w:lang w:eastAsia="es-MX"/>
        </w:rPr>
        <w:lastRenderedPageBreak/>
        <w:drawing>
          <wp:inline distT="0" distB="0" distL="0" distR="0">
            <wp:extent cx="5612130" cy="4408576"/>
            <wp:effectExtent l="19050" t="0" r="7620" b="0"/>
            <wp:docPr id="1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12130" cy="4408576"/>
                    </a:xfrm>
                    <a:prstGeom prst="rect">
                      <a:avLst/>
                    </a:prstGeom>
                    <a:noFill/>
                    <a:ln w="9525">
                      <a:noFill/>
                      <a:miter lim="800000"/>
                      <a:headEnd/>
                      <a:tailEnd/>
                    </a:ln>
                  </pic:spPr>
                </pic:pic>
              </a:graphicData>
            </a:graphic>
          </wp:inline>
        </w:drawing>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p>
    <w:p w:rsidR="003F4302" w:rsidRPr="00E74967" w:rsidRDefault="003F4302" w:rsidP="003F4302">
      <w:pPr>
        <w:rPr>
          <w:rFonts w:cs="Calibri"/>
          <w:b/>
        </w:rPr>
      </w:pPr>
      <w:r w:rsidRPr="00E74967">
        <w:rPr>
          <w:rFonts w:cs="Calibri"/>
          <w:b/>
        </w:rPr>
        <w:t>5. Bases de Preparación de los Estados Financieros:</w:t>
      </w:r>
    </w:p>
    <w:p w:rsidR="003F4302" w:rsidRPr="00E74967" w:rsidRDefault="003F4302" w:rsidP="003F4302">
      <w:pPr>
        <w:rPr>
          <w:rFonts w:cs="Calibri"/>
        </w:rPr>
      </w:pPr>
      <w:r w:rsidRPr="00E74967">
        <w:rPr>
          <w:rFonts w:cs="Calibri"/>
        </w:rPr>
        <w:t>Se informará sobre:</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a)</w:t>
      </w:r>
      <w:r w:rsidRPr="00E74967">
        <w:rPr>
          <w:rFonts w:cs="Calibri"/>
        </w:rPr>
        <w:t xml:space="preserve"> Si se ha observado la normatividad emitida por el CONAC y las disposiciones legales aplicables.</w:t>
      </w:r>
    </w:p>
    <w:p w:rsidR="003F4302" w:rsidRDefault="003F4302" w:rsidP="003F4302">
      <w:pPr>
        <w:rPr>
          <w:rFonts w:ascii="Arial" w:hAnsi="Arial" w:cs="Arial"/>
          <w:sz w:val="20"/>
          <w:szCs w:val="20"/>
          <w:u w:val="single"/>
        </w:rPr>
      </w:pPr>
    </w:p>
    <w:p w:rsidR="003F4302" w:rsidRPr="000D7D75" w:rsidRDefault="003F4302" w:rsidP="003F4302">
      <w:pPr>
        <w:rPr>
          <w:rFonts w:ascii="Arial" w:hAnsi="Arial" w:cs="Arial"/>
          <w:sz w:val="20"/>
          <w:szCs w:val="20"/>
          <w:u w:val="single"/>
        </w:rPr>
      </w:pPr>
      <w:r w:rsidRPr="000D7D75">
        <w:rPr>
          <w:rFonts w:ascii="Arial" w:hAnsi="Arial" w:cs="Arial"/>
          <w:sz w:val="20"/>
          <w:szCs w:val="20"/>
          <w:u w:val="single"/>
        </w:rPr>
        <w:t>SI.</w:t>
      </w:r>
    </w:p>
    <w:p w:rsidR="003F4302" w:rsidRPr="00E74967" w:rsidRDefault="003F4302" w:rsidP="003F4302">
      <w:pPr>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3F4302" w:rsidRDefault="003F4302" w:rsidP="003F4302">
      <w:pPr>
        <w:rPr>
          <w:rFonts w:ascii="Arial" w:hAnsi="Arial" w:cs="Arial"/>
          <w:sz w:val="20"/>
          <w:szCs w:val="20"/>
          <w:u w:val="single"/>
        </w:rPr>
      </w:pPr>
    </w:p>
    <w:p w:rsidR="003F4302" w:rsidRPr="00771743" w:rsidRDefault="003F4302" w:rsidP="003F4302">
      <w:pPr>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c)</w:t>
      </w:r>
      <w:r w:rsidRPr="00E74967">
        <w:rPr>
          <w:rFonts w:cs="Calibri"/>
        </w:rPr>
        <w:t xml:space="preserve"> Postulados básicos.</w:t>
      </w:r>
    </w:p>
    <w:p w:rsidR="003F4302" w:rsidRDefault="003F4302" w:rsidP="003F4302">
      <w:pPr>
        <w:rPr>
          <w:rFonts w:ascii="Arial" w:hAnsi="Arial" w:cs="Arial"/>
          <w:sz w:val="20"/>
          <w:szCs w:val="20"/>
          <w:u w:val="single"/>
        </w:rPr>
      </w:pPr>
    </w:p>
    <w:p w:rsidR="003F4302" w:rsidRPr="00771743" w:rsidRDefault="003F4302" w:rsidP="003F4302">
      <w:pPr>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Default="003F4302" w:rsidP="003F4302">
      <w:pPr>
        <w:rPr>
          <w:rFonts w:cs="Calibri"/>
          <w:b/>
        </w:rPr>
      </w:pPr>
    </w:p>
    <w:p w:rsidR="003F4302" w:rsidRPr="00E74967" w:rsidRDefault="003F4302" w:rsidP="003F4302">
      <w:pPr>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3F4302" w:rsidRPr="00E74967" w:rsidRDefault="003F4302" w:rsidP="003F4302">
      <w:pPr>
        <w:rPr>
          <w:rFonts w:cs="Calibri"/>
        </w:rPr>
      </w:pPr>
    </w:p>
    <w:p w:rsidR="003F4302" w:rsidRPr="00E74967" w:rsidRDefault="003F4302" w:rsidP="003F4302">
      <w:pPr>
        <w:rPr>
          <w:rFonts w:cs="Calibri"/>
        </w:rPr>
      </w:pPr>
      <w:r w:rsidRPr="00E74967">
        <w:rPr>
          <w:rFonts w:cs="Calibri"/>
        </w:rPr>
        <w:t>*Revelar las nuevas políticas de reconocimiento:</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rPr>
        <w:t>*Plan de implementación:</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rPr>
        <w:t>*Revelar los cambios en las políticas, la clasificación y medición de las mismas, así como su impacto en la información financiera:</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p>
    <w:p w:rsidR="003F4302" w:rsidRPr="00E74967" w:rsidRDefault="003F4302" w:rsidP="003F4302">
      <w:pPr>
        <w:rPr>
          <w:rFonts w:cs="Calibri"/>
          <w:b/>
        </w:rPr>
      </w:pPr>
      <w:r w:rsidRPr="00E74967">
        <w:rPr>
          <w:rFonts w:cs="Calibri"/>
          <w:b/>
        </w:rPr>
        <w:t>6. Políticas de Contabilidad Significativas:</w:t>
      </w:r>
    </w:p>
    <w:p w:rsidR="003F4302" w:rsidRPr="00E74967" w:rsidRDefault="003F4302" w:rsidP="003F4302">
      <w:pPr>
        <w:rPr>
          <w:rFonts w:cs="Calibri"/>
        </w:rPr>
      </w:pPr>
    </w:p>
    <w:p w:rsidR="003F4302" w:rsidRPr="00E74967" w:rsidRDefault="003F4302" w:rsidP="003F4302">
      <w:pPr>
        <w:rPr>
          <w:rFonts w:cs="Calibri"/>
        </w:rPr>
      </w:pPr>
      <w:r w:rsidRPr="00E74967">
        <w:rPr>
          <w:rFonts w:cs="Calibri"/>
        </w:rPr>
        <w:t>Se informará sobre:</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d)</w:t>
      </w:r>
      <w:r w:rsidRPr="00E74967">
        <w:rPr>
          <w:rFonts w:cs="Calibri"/>
        </w:rPr>
        <w:t xml:space="preserve"> Sistema y método de valuación de inventarios y costo de lo vendido:</w:t>
      </w:r>
    </w:p>
    <w:p w:rsidR="003F4302" w:rsidRDefault="003F4302" w:rsidP="003F4302">
      <w:pPr>
        <w:rPr>
          <w:rFonts w:ascii="Arial" w:hAnsi="Arial" w:cs="Arial"/>
          <w:sz w:val="20"/>
          <w:szCs w:val="20"/>
          <w:u w:val="single"/>
        </w:rPr>
      </w:pPr>
    </w:p>
    <w:p w:rsidR="003F4302" w:rsidRPr="008F0698" w:rsidRDefault="003F4302" w:rsidP="003F4302">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3F4302" w:rsidRDefault="003F4302" w:rsidP="003F4302">
      <w:pPr>
        <w:rPr>
          <w:rFonts w:ascii="Arial" w:hAnsi="Arial" w:cs="Arial"/>
          <w:sz w:val="20"/>
          <w:szCs w:val="20"/>
          <w:u w:val="single"/>
        </w:rPr>
      </w:pPr>
    </w:p>
    <w:p w:rsidR="003F4302" w:rsidRPr="00E5617B" w:rsidRDefault="003F4302" w:rsidP="003F4302">
      <w:pPr>
        <w:rPr>
          <w:rFonts w:ascii="Arial" w:hAnsi="Arial" w:cs="Arial"/>
          <w:sz w:val="20"/>
          <w:szCs w:val="20"/>
          <w:u w:val="single"/>
        </w:rPr>
      </w:pPr>
      <w:r w:rsidRPr="00E5617B">
        <w:rPr>
          <w:rFonts w:ascii="Arial" w:hAnsi="Arial" w:cs="Arial"/>
          <w:sz w:val="20"/>
          <w:szCs w:val="20"/>
          <w:u w:val="single"/>
        </w:rPr>
        <w:t>No me aplica.</w:t>
      </w:r>
      <w:r w:rsidRPr="00E5617B">
        <w:rPr>
          <w:rFonts w:ascii="Arial" w:hAnsi="Arial" w:cs="Arial"/>
          <w:sz w:val="20"/>
          <w:szCs w:val="20"/>
          <w:u w:val="single"/>
        </w:rPr>
        <w:tab/>
      </w:r>
      <w:r w:rsidRPr="00E5617B">
        <w:rPr>
          <w:rFonts w:ascii="Arial" w:hAnsi="Arial" w:cs="Arial"/>
          <w:sz w:val="20"/>
          <w:szCs w:val="20"/>
          <w:u w:val="single"/>
        </w:rPr>
        <w:tab/>
      </w:r>
      <w:r w:rsidRPr="00E5617B">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f)</w:t>
      </w:r>
      <w:r w:rsidRPr="00E74967">
        <w:rPr>
          <w:rFonts w:cs="Calibri"/>
        </w:rPr>
        <w:t xml:space="preserve"> Provisiones: objetivo de su creación, monto y plazo:</w:t>
      </w:r>
    </w:p>
    <w:p w:rsidR="003F4302" w:rsidRDefault="003F4302" w:rsidP="003F4302">
      <w:pPr>
        <w:rPr>
          <w:rFonts w:ascii="Arial" w:hAnsi="Arial" w:cs="Arial"/>
          <w:sz w:val="20"/>
          <w:szCs w:val="20"/>
          <w:u w:val="single"/>
        </w:rPr>
      </w:pPr>
    </w:p>
    <w:p w:rsidR="003F4302" w:rsidRPr="00726A21" w:rsidRDefault="003F4302" w:rsidP="003F4302">
      <w:pPr>
        <w:rPr>
          <w:rFonts w:ascii="Arial" w:hAnsi="Arial" w:cs="Arial"/>
          <w:sz w:val="20"/>
          <w:szCs w:val="20"/>
          <w:u w:val="single"/>
        </w:rPr>
      </w:pPr>
      <w:r w:rsidRPr="00E5617B">
        <w:rPr>
          <w:rFonts w:ascii="Arial" w:hAnsi="Arial" w:cs="Arial"/>
          <w:sz w:val="20"/>
          <w:szCs w:val="20"/>
          <w:u w:val="single"/>
        </w:rPr>
        <w:t xml:space="preserve">Provisiones de Ejercicios Anteriores (Obra por ejecutar </w:t>
      </w:r>
      <w:r w:rsidR="00590483" w:rsidRPr="00590483">
        <w:rPr>
          <w:rFonts w:ascii="Arial" w:hAnsi="Arial" w:cs="Arial"/>
          <w:sz w:val="20"/>
          <w:szCs w:val="20"/>
          <w:u w:val="single"/>
        </w:rPr>
        <w:t>$161,116,236.61</w:t>
      </w:r>
      <w:r w:rsidR="00A16E6B" w:rsidRPr="00A16E6B">
        <w:rPr>
          <w:rFonts w:ascii="Arial" w:hAnsi="Arial" w:cs="Arial"/>
          <w:sz w:val="20"/>
          <w:szCs w:val="20"/>
          <w:u w:val="single"/>
        </w:rPr>
        <w:t>)</w:t>
      </w:r>
    </w:p>
    <w:p w:rsidR="003F4302" w:rsidRPr="00E5617B" w:rsidRDefault="003F4302" w:rsidP="003F4302">
      <w:pPr>
        <w:rPr>
          <w:rFonts w:ascii="Arial" w:hAnsi="Arial" w:cs="Arial"/>
          <w:sz w:val="20"/>
          <w:szCs w:val="20"/>
          <w:u w:val="single"/>
        </w:rPr>
      </w:pP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g)</w:t>
      </w:r>
      <w:r w:rsidRPr="00E74967">
        <w:rPr>
          <w:rFonts w:cs="Calibri"/>
        </w:rPr>
        <w:t xml:space="preserve"> Reservas: objetivo de su creación, monto y plazo:</w:t>
      </w:r>
    </w:p>
    <w:p w:rsidR="003F4302" w:rsidRDefault="003F4302" w:rsidP="003F4302">
      <w:pPr>
        <w:rPr>
          <w:rFonts w:ascii="Arial" w:hAnsi="Arial" w:cs="Arial"/>
          <w:sz w:val="20"/>
          <w:szCs w:val="20"/>
          <w:u w:val="single"/>
        </w:rPr>
      </w:pPr>
    </w:p>
    <w:p w:rsidR="003F4302" w:rsidRPr="00E5617B" w:rsidRDefault="003F4302" w:rsidP="003F4302">
      <w:pPr>
        <w:rPr>
          <w:rFonts w:ascii="Arial" w:hAnsi="Arial" w:cs="Arial"/>
          <w:sz w:val="20"/>
          <w:szCs w:val="20"/>
          <w:u w:val="single"/>
        </w:rPr>
      </w:pPr>
      <w:r w:rsidRPr="00E5617B">
        <w:rPr>
          <w:rFonts w:ascii="Arial" w:hAnsi="Arial" w:cs="Arial"/>
          <w:sz w:val="20"/>
          <w:szCs w:val="20"/>
          <w:u w:val="single"/>
        </w:rPr>
        <w:t>No me aplica.</w:t>
      </w:r>
      <w:r w:rsidRPr="00E5617B">
        <w:rPr>
          <w:rFonts w:ascii="Arial" w:hAnsi="Arial" w:cs="Arial"/>
          <w:sz w:val="20"/>
          <w:szCs w:val="20"/>
          <w:u w:val="single"/>
        </w:rPr>
        <w:tab/>
      </w:r>
      <w:r w:rsidRPr="00E5617B">
        <w:rPr>
          <w:rFonts w:ascii="Arial" w:hAnsi="Arial" w:cs="Arial"/>
          <w:sz w:val="20"/>
          <w:szCs w:val="20"/>
          <w:u w:val="single"/>
        </w:rPr>
        <w:tab/>
      </w:r>
      <w:r w:rsidRPr="00E5617B">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3F4302" w:rsidRDefault="003F4302" w:rsidP="003F4302">
      <w:pPr>
        <w:rPr>
          <w:rFonts w:ascii="Arial" w:hAnsi="Arial" w:cs="Arial"/>
          <w:sz w:val="20"/>
          <w:szCs w:val="20"/>
          <w:u w:val="single"/>
        </w:rPr>
      </w:pPr>
    </w:p>
    <w:p w:rsidR="003F4302" w:rsidRPr="008F0698" w:rsidRDefault="003F4302" w:rsidP="003F4302">
      <w:pPr>
        <w:rPr>
          <w:rFonts w:ascii="Arial" w:hAnsi="Arial" w:cs="Arial"/>
          <w:sz w:val="20"/>
          <w:szCs w:val="20"/>
          <w:u w:val="single"/>
        </w:rPr>
      </w:pPr>
      <w:r w:rsidRPr="008F0698">
        <w:rPr>
          <w:rFonts w:ascii="Arial" w:hAnsi="Arial" w:cs="Arial"/>
          <w:sz w:val="20"/>
          <w:szCs w:val="20"/>
          <w:u w:val="single"/>
        </w:rPr>
        <w:t>No me aplica.</w:t>
      </w:r>
      <w:r w:rsidRPr="008F0698">
        <w:rPr>
          <w:rFonts w:ascii="Arial" w:hAnsi="Arial" w:cs="Arial"/>
          <w:sz w:val="20"/>
          <w:szCs w:val="20"/>
          <w:u w:val="single"/>
        </w:rPr>
        <w:tab/>
      </w:r>
      <w:r w:rsidRPr="008F0698">
        <w:rPr>
          <w:rFonts w:ascii="Arial" w:hAnsi="Arial" w:cs="Arial"/>
          <w:sz w:val="20"/>
          <w:szCs w:val="20"/>
          <w:u w:val="single"/>
        </w:rPr>
        <w:tab/>
      </w:r>
      <w:r w:rsidRPr="008F0698">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3F4302" w:rsidRDefault="003F4302" w:rsidP="003F4302">
      <w:pPr>
        <w:rPr>
          <w:rFonts w:ascii="Arial" w:hAnsi="Arial" w:cs="Arial"/>
          <w:sz w:val="20"/>
          <w:szCs w:val="20"/>
          <w:u w:val="single"/>
        </w:rPr>
      </w:pPr>
    </w:p>
    <w:p w:rsidR="003F4302" w:rsidRPr="008F0698" w:rsidRDefault="003F4302" w:rsidP="003F4302">
      <w:pPr>
        <w:rPr>
          <w:rFonts w:ascii="Arial" w:hAnsi="Arial" w:cs="Arial"/>
          <w:sz w:val="20"/>
          <w:szCs w:val="20"/>
          <w:u w:val="single"/>
        </w:rPr>
      </w:pPr>
      <w:r w:rsidRPr="008F0698">
        <w:rPr>
          <w:rFonts w:ascii="Arial" w:hAnsi="Arial" w:cs="Arial"/>
          <w:sz w:val="20"/>
          <w:szCs w:val="20"/>
          <w:u w:val="single"/>
        </w:rPr>
        <w:lastRenderedPageBreak/>
        <w:t xml:space="preserve">Existen movimientos generados por reacomodo de cuentas, pero siempre se guarda evidencia de dichos movimientos, en la póliza de reclasificación, en las cuentas de Cartera (Documentos por cobrar) se hace el cambio de los saldos por Ajuste y estabilización del Sistema, </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j)</w:t>
      </w:r>
      <w:r w:rsidRPr="00E74967">
        <w:rPr>
          <w:rFonts w:cs="Calibri"/>
        </w:rPr>
        <w:t xml:space="preserve"> Depuración y cancelación de saldos:</w:t>
      </w:r>
    </w:p>
    <w:p w:rsidR="003F4302" w:rsidRDefault="003F4302" w:rsidP="003F4302">
      <w:pPr>
        <w:rPr>
          <w:rFonts w:ascii="Arial" w:hAnsi="Arial" w:cs="Arial"/>
          <w:sz w:val="20"/>
          <w:szCs w:val="20"/>
          <w:u w:val="single"/>
        </w:rPr>
      </w:pPr>
    </w:p>
    <w:p w:rsidR="003F4302" w:rsidRPr="008F0698" w:rsidRDefault="003F4302" w:rsidP="003F4302">
      <w:pPr>
        <w:rPr>
          <w:rFonts w:ascii="Arial" w:hAnsi="Arial" w:cs="Arial"/>
          <w:sz w:val="20"/>
          <w:szCs w:val="20"/>
          <w:u w:val="single"/>
        </w:rPr>
      </w:pPr>
      <w:r w:rsidRPr="008F0698">
        <w:rPr>
          <w:rFonts w:ascii="Arial" w:hAnsi="Arial" w:cs="Arial"/>
          <w:sz w:val="20"/>
          <w:szCs w:val="20"/>
          <w:u w:val="single"/>
        </w:rPr>
        <w:t xml:space="preserve">Cancelación de servicios no ejecutados, </w:t>
      </w:r>
    </w:p>
    <w:p w:rsidR="003F4302" w:rsidRPr="00E74967" w:rsidRDefault="003F4302" w:rsidP="003F4302">
      <w:pPr>
        <w:rPr>
          <w:rFonts w:cs="Calibri"/>
        </w:rPr>
      </w:pPr>
    </w:p>
    <w:p w:rsidR="003F4302" w:rsidRPr="00E74967" w:rsidRDefault="003F4302" w:rsidP="003F4302">
      <w:pPr>
        <w:rPr>
          <w:rFonts w:cs="Calibri"/>
        </w:rPr>
      </w:pPr>
    </w:p>
    <w:p w:rsidR="003F4302" w:rsidRPr="00E74967" w:rsidRDefault="003F4302" w:rsidP="003F4302">
      <w:pPr>
        <w:rPr>
          <w:rFonts w:cs="Calibri"/>
          <w:b/>
        </w:rPr>
      </w:pPr>
      <w:r w:rsidRPr="00E74967">
        <w:rPr>
          <w:rFonts w:cs="Calibri"/>
          <w:b/>
        </w:rPr>
        <w:t>7. Posición en Moneda Extranjera y Protección por Riesgo Cambiario:</w:t>
      </w:r>
    </w:p>
    <w:p w:rsidR="003F4302" w:rsidRPr="00E74967" w:rsidRDefault="003F4302" w:rsidP="003F4302">
      <w:pPr>
        <w:rPr>
          <w:rFonts w:cs="Calibri"/>
        </w:rPr>
      </w:pPr>
    </w:p>
    <w:p w:rsidR="003F4302" w:rsidRPr="00E74967" w:rsidRDefault="003F4302" w:rsidP="003F4302">
      <w:pPr>
        <w:rPr>
          <w:rFonts w:cs="Calibri"/>
        </w:rPr>
      </w:pPr>
      <w:r w:rsidRPr="00E74967">
        <w:rPr>
          <w:rFonts w:cs="Calibri"/>
        </w:rPr>
        <w:t>Se informará sobre:</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a)</w:t>
      </w:r>
      <w:r w:rsidRPr="00E74967">
        <w:rPr>
          <w:rFonts w:cs="Calibri"/>
        </w:rPr>
        <w:t xml:space="preserve"> Activos en moneda extranjera:</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b)</w:t>
      </w:r>
      <w:r w:rsidRPr="00E74967">
        <w:rPr>
          <w:rFonts w:cs="Calibri"/>
        </w:rPr>
        <w:t xml:space="preserve"> Pasivos en moneda extranjera:</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 xml:space="preserve">c) </w:t>
      </w:r>
      <w:r w:rsidRPr="00E74967">
        <w:rPr>
          <w:rFonts w:cs="Calibri"/>
        </w:rPr>
        <w:t>Posición en moneda extranjera:</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d)</w:t>
      </w:r>
      <w:r w:rsidRPr="00E74967">
        <w:rPr>
          <w:rFonts w:cs="Calibri"/>
        </w:rPr>
        <w:t xml:space="preserve"> Tipo de cambio:</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lastRenderedPageBreak/>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 xml:space="preserve">e) </w:t>
      </w:r>
      <w:r w:rsidRPr="00E74967">
        <w:rPr>
          <w:rFonts w:cs="Calibri"/>
        </w:rPr>
        <w:t>Equivalente en moneda nacional:</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rPr>
        <w:t>Lo anterior por cada tipo de moneda extranjera que se encuentre en los rubros de activo y pasivo.</w:t>
      </w:r>
    </w:p>
    <w:p w:rsidR="003F4302" w:rsidRPr="00E74967" w:rsidRDefault="003F4302" w:rsidP="003F4302">
      <w:pPr>
        <w:rPr>
          <w:rFonts w:cs="Calibri"/>
        </w:rPr>
      </w:pPr>
      <w:r w:rsidRPr="00E74967">
        <w:rPr>
          <w:rFonts w:cs="Calibri"/>
        </w:rPr>
        <w:t>Adicionalmente se informará sobre los métodos de protección de riesgo por variaciones en el tipo de cambio.</w:t>
      </w:r>
    </w:p>
    <w:p w:rsidR="003F4302" w:rsidRPr="00E74967" w:rsidRDefault="003F4302" w:rsidP="003F4302">
      <w:pPr>
        <w:rPr>
          <w:rFonts w:cs="Calibri"/>
        </w:rPr>
      </w:pPr>
    </w:p>
    <w:p w:rsidR="003F4302" w:rsidRPr="00E74967" w:rsidRDefault="003F4302" w:rsidP="003F4302">
      <w:pPr>
        <w:rPr>
          <w:rFonts w:cs="Calibri"/>
        </w:rPr>
      </w:pPr>
    </w:p>
    <w:p w:rsidR="003F4302" w:rsidRPr="00E74967" w:rsidRDefault="003F4302" w:rsidP="003F4302">
      <w:pPr>
        <w:rPr>
          <w:rFonts w:cs="Calibri"/>
          <w:b/>
        </w:rPr>
      </w:pPr>
      <w:r w:rsidRPr="00E74967">
        <w:rPr>
          <w:rFonts w:cs="Calibri"/>
          <w:b/>
        </w:rPr>
        <w:t>8. Reporte Analítico del Activo:</w:t>
      </w:r>
    </w:p>
    <w:p w:rsidR="003F4302" w:rsidRPr="00E74967" w:rsidRDefault="003F4302" w:rsidP="003F4302">
      <w:pPr>
        <w:rPr>
          <w:rFonts w:cs="Calibri"/>
        </w:rPr>
      </w:pPr>
    </w:p>
    <w:p w:rsidR="003F4302" w:rsidRPr="00E74967" w:rsidRDefault="003F4302" w:rsidP="003F4302">
      <w:pPr>
        <w:rPr>
          <w:rFonts w:cs="Calibri"/>
        </w:rPr>
      </w:pPr>
      <w:r w:rsidRPr="00E74967">
        <w:rPr>
          <w:rFonts w:cs="Calibri"/>
        </w:rPr>
        <w:t>Debe mostrar la siguiente información:</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3F4302" w:rsidRDefault="003F4302" w:rsidP="003F4302">
      <w:pPr>
        <w:rPr>
          <w:rFonts w:ascii="Arial" w:hAnsi="Arial" w:cs="Arial"/>
          <w:sz w:val="20"/>
          <w:szCs w:val="20"/>
          <w:u w:val="single"/>
        </w:rPr>
      </w:pPr>
    </w:p>
    <w:p w:rsidR="003F4302" w:rsidRPr="008F0698" w:rsidRDefault="003F4302" w:rsidP="003F4302">
      <w:pPr>
        <w:rPr>
          <w:rFonts w:ascii="Arial" w:hAnsi="Arial" w:cs="Arial"/>
          <w:sz w:val="20"/>
          <w:szCs w:val="20"/>
          <w:u w:val="single"/>
        </w:rPr>
      </w:pPr>
      <w:r w:rsidRPr="008F0698">
        <w:rPr>
          <w:rFonts w:ascii="Arial" w:hAnsi="Arial" w:cs="Arial"/>
          <w:sz w:val="20"/>
          <w:szCs w:val="20"/>
          <w:u w:val="single"/>
        </w:rPr>
        <w:t>Mobiliario y equipo de Oficina, Herramientas-10%, Vehículos, camiones, remolques-25%, Equipo de Cómputo – 30%</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b)</w:t>
      </w:r>
      <w:r w:rsidRPr="00E74967">
        <w:rPr>
          <w:rFonts w:cs="Calibri"/>
        </w:rPr>
        <w:t xml:space="preserve"> Cambios en el porcentaje de depreciación o valor residual de los activos:</w:t>
      </w:r>
    </w:p>
    <w:p w:rsidR="003F4302" w:rsidRDefault="003F4302" w:rsidP="003F4302">
      <w:pPr>
        <w:rPr>
          <w:rFonts w:ascii="Arial" w:hAnsi="Arial" w:cs="Arial"/>
          <w:sz w:val="20"/>
          <w:szCs w:val="20"/>
          <w:u w:val="single"/>
        </w:rPr>
      </w:pPr>
    </w:p>
    <w:p w:rsidR="003F4302" w:rsidRPr="008F0698" w:rsidRDefault="003F4302" w:rsidP="003F4302">
      <w:pPr>
        <w:rPr>
          <w:rFonts w:ascii="Arial" w:hAnsi="Arial" w:cs="Arial"/>
          <w:sz w:val="20"/>
          <w:szCs w:val="20"/>
          <w:u w:val="single"/>
        </w:rPr>
      </w:pPr>
      <w:r w:rsidRPr="008F0698">
        <w:rPr>
          <w:rFonts w:ascii="Arial" w:hAnsi="Arial" w:cs="Arial"/>
          <w:sz w:val="20"/>
          <w:szCs w:val="20"/>
          <w:u w:val="single"/>
        </w:rPr>
        <w:t>No me aplica.</w:t>
      </w:r>
      <w:r w:rsidRPr="008F0698">
        <w:rPr>
          <w:rFonts w:ascii="Arial" w:hAnsi="Arial" w:cs="Arial"/>
          <w:sz w:val="20"/>
          <w:szCs w:val="20"/>
          <w:u w:val="single"/>
        </w:rPr>
        <w:tab/>
      </w:r>
      <w:r w:rsidRPr="008F0698">
        <w:rPr>
          <w:rFonts w:ascii="Arial" w:hAnsi="Arial" w:cs="Arial"/>
          <w:sz w:val="20"/>
          <w:szCs w:val="20"/>
          <w:u w:val="single"/>
        </w:rPr>
        <w:tab/>
      </w:r>
      <w:r w:rsidRPr="008F0698">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3F4302" w:rsidRDefault="003F4302" w:rsidP="003F4302">
      <w:pPr>
        <w:rPr>
          <w:rFonts w:ascii="Arial" w:hAnsi="Arial" w:cs="Arial"/>
          <w:sz w:val="20"/>
          <w:szCs w:val="20"/>
          <w:u w:val="single"/>
        </w:rPr>
      </w:pPr>
    </w:p>
    <w:p w:rsidR="003F4302" w:rsidRPr="008F0698" w:rsidRDefault="003F4302" w:rsidP="003F4302">
      <w:pPr>
        <w:rPr>
          <w:rFonts w:ascii="Arial" w:hAnsi="Arial" w:cs="Arial"/>
          <w:sz w:val="20"/>
          <w:szCs w:val="20"/>
          <w:u w:val="single"/>
        </w:rPr>
      </w:pPr>
      <w:r w:rsidRPr="008F0698">
        <w:rPr>
          <w:rFonts w:ascii="Arial" w:hAnsi="Arial" w:cs="Arial"/>
          <w:sz w:val="20"/>
          <w:szCs w:val="20"/>
          <w:u w:val="single"/>
        </w:rPr>
        <w:lastRenderedPageBreak/>
        <w:t>No me aplica.</w:t>
      </w:r>
      <w:r w:rsidRPr="008F0698">
        <w:rPr>
          <w:rFonts w:ascii="Arial" w:hAnsi="Arial" w:cs="Arial"/>
          <w:sz w:val="20"/>
          <w:szCs w:val="20"/>
          <w:u w:val="single"/>
        </w:rPr>
        <w:tab/>
      </w:r>
      <w:r w:rsidRPr="008F0698">
        <w:rPr>
          <w:rFonts w:ascii="Arial" w:hAnsi="Arial" w:cs="Arial"/>
          <w:sz w:val="20"/>
          <w:szCs w:val="20"/>
          <w:u w:val="single"/>
        </w:rPr>
        <w:tab/>
      </w:r>
      <w:r w:rsidRPr="008F0698">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d)</w:t>
      </w:r>
      <w:r w:rsidRPr="00E74967">
        <w:rPr>
          <w:rFonts w:cs="Calibri"/>
        </w:rPr>
        <w:t xml:space="preserve"> Riesgos por tipo de cambio o tipo de interés de las inversiones financieras:</w:t>
      </w:r>
    </w:p>
    <w:p w:rsidR="003F4302" w:rsidRDefault="003F4302" w:rsidP="003F4302">
      <w:pPr>
        <w:rPr>
          <w:rFonts w:ascii="Arial" w:hAnsi="Arial" w:cs="Arial"/>
          <w:sz w:val="20"/>
          <w:szCs w:val="20"/>
          <w:u w:val="single"/>
        </w:rPr>
      </w:pPr>
    </w:p>
    <w:p w:rsidR="003F4302" w:rsidRPr="008F0698" w:rsidRDefault="003F4302" w:rsidP="003F4302">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estables en un promedio de 3</w:t>
      </w:r>
      <w:r w:rsidRPr="008F0698">
        <w:rPr>
          <w:rFonts w:ascii="Arial" w:hAnsi="Arial" w:cs="Arial"/>
          <w:sz w:val="20"/>
          <w:szCs w:val="20"/>
          <w:u w:val="single"/>
        </w:rPr>
        <w:t>% Anual.</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 xml:space="preserve">e) </w:t>
      </w:r>
      <w:r w:rsidRPr="00E74967">
        <w:rPr>
          <w:rFonts w:cs="Calibri"/>
        </w:rPr>
        <w:t>Valor activado en el ejercicio de los bienes construidos por la entidad:</w:t>
      </w:r>
    </w:p>
    <w:p w:rsidR="003F4302" w:rsidRDefault="003F4302" w:rsidP="003F4302">
      <w:pPr>
        <w:rPr>
          <w:rFonts w:ascii="Arial" w:hAnsi="Arial" w:cs="Arial"/>
          <w:sz w:val="20"/>
          <w:szCs w:val="20"/>
          <w:u w:val="single"/>
        </w:rPr>
      </w:pPr>
    </w:p>
    <w:p w:rsidR="003F4302" w:rsidRPr="008F0698" w:rsidRDefault="003F4302" w:rsidP="003F4302">
      <w:pPr>
        <w:rPr>
          <w:rFonts w:ascii="Arial" w:hAnsi="Arial" w:cs="Arial"/>
          <w:sz w:val="20"/>
          <w:szCs w:val="20"/>
          <w:u w:val="single"/>
        </w:rPr>
      </w:pPr>
      <w:r w:rsidRPr="008F0698">
        <w:rPr>
          <w:rFonts w:ascii="Arial" w:hAnsi="Arial" w:cs="Arial"/>
          <w:sz w:val="20"/>
          <w:szCs w:val="20"/>
          <w:u w:val="single"/>
        </w:rPr>
        <w:t>No me aplica.</w:t>
      </w:r>
      <w:r w:rsidRPr="008F0698">
        <w:rPr>
          <w:rFonts w:ascii="Arial" w:hAnsi="Arial" w:cs="Arial"/>
          <w:sz w:val="20"/>
          <w:szCs w:val="20"/>
          <w:u w:val="single"/>
        </w:rPr>
        <w:tab/>
      </w:r>
      <w:r w:rsidRPr="008F0698">
        <w:rPr>
          <w:rFonts w:ascii="Arial" w:hAnsi="Arial" w:cs="Arial"/>
          <w:sz w:val="20"/>
          <w:szCs w:val="20"/>
          <w:u w:val="single"/>
        </w:rPr>
        <w:tab/>
      </w:r>
      <w:r w:rsidRPr="008F0698">
        <w:rPr>
          <w:rFonts w:ascii="Arial" w:hAnsi="Arial" w:cs="Arial"/>
          <w:sz w:val="20"/>
          <w:szCs w:val="20"/>
          <w:u w:val="single"/>
        </w:rPr>
        <w:tab/>
      </w:r>
    </w:p>
    <w:p w:rsidR="003F4302" w:rsidRPr="00E74967" w:rsidRDefault="003F4302" w:rsidP="003F4302">
      <w:pPr>
        <w:rPr>
          <w:rFonts w:cs="Calibri"/>
          <w:b/>
        </w:rPr>
      </w:pPr>
    </w:p>
    <w:p w:rsidR="003F4302" w:rsidRPr="00E74967" w:rsidRDefault="003F4302" w:rsidP="003F4302">
      <w:pPr>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3F4302" w:rsidRDefault="003F4302" w:rsidP="003F4302">
      <w:pPr>
        <w:rPr>
          <w:rFonts w:ascii="Arial" w:hAnsi="Arial" w:cs="Arial"/>
          <w:sz w:val="20"/>
          <w:szCs w:val="20"/>
          <w:u w:val="single"/>
        </w:rPr>
      </w:pPr>
    </w:p>
    <w:p w:rsidR="003F4302" w:rsidRPr="008F0698" w:rsidRDefault="003F4302" w:rsidP="003F4302">
      <w:pPr>
        <w:rPr>
          <w:rFonts w:ascii="Arial" w:hAnsi="Arial" w:cs="Arial"/>
          <w:sz w:val="20"/>
          <w:szCs w:val="20"/>
          <w:u w:val="single"/>
        </w:rPr>
      </w:pPr>
      <w:r w:rsidRPr="008F0698">
        <w:rPr>
          <w:rFonts w:ascii="Arial" w:hAnsi="Arial" w:cs="Arial"/>
          <w:sz w:val="20"/>
          <w:szCs w:val="20"/>
          <w:u w:val="single"/>
        </w:rPr>
        <w:t>No me aplica.</w:t>
      </w:r>
      <w:r w:rsidRPr="008F0698">
        <w:rPr>
          <w:rFonts w:ascii="Arial" w:hAnsi="Arial" w:cs="Arial"/>
          <w:sz w:val="20"/>
          <w:szCs w:val="20"/>
          <w:u w:val="single"/>
        </w:rPr>
        <w:tab/>
      </w:r>
      <w:r w:rsidRPr="008F0698">
        <w:rPr>
          <w:rFonts w:ascii="Arial" w:hAnsi="Arial" w:cs="Arial"/>
          <w:sz w:val="20"/>
          <w:szCs w:val="20"/>
          <w:u w:val="single"/>
        </w:rPr>
        <w:tab/>
      </w:r>
      <w:r w:rsidRPr="008F0698">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g)</w:t>
      </w:r>
      <w:r w:rsidRPr="00E74967">
        <w:rPr>
          <w:rFonts w:cs="Calibri"/>
        </w:rPr>
        <w:t xml:space="preserve"> Desmantelamiento de Activos, procedimientos, implicaciones, efectos contables:</w:t>
      </w:r>
    </w:p>
    <w:p w:rsidR="003F4302" w:rsidRDefault="003F4302" w:rsidP="003F4302">
      <w:pPr>
        <w:rPr>
          <w:rFonts w:ascii="Arial" w:hAnsi="Arial" w:cs="Arial"/>
          <w:sz w:val="20"/>
          <w:szCs w:val="20"/>
          <w:u w:val="single"/>
        </w:rPr>
      </w:pPr>
    </w:p>
    <w:p w:rsidR="003F4302" w:rsidRPr="008F0698" w:rsidRDefault="003F4302" w:rsidP="003F4302">
      <w:pPr>
        <w:rPr>
          <w:rFonts w:ascii="Arial" w:hAnsi="Arial" w:cs="Arial"/>
          <w:sz w:val="20"/>
          <w:szCs w:val="20"/>
          <w:u w:val="single"/>
        </w:rPr>
      </w:pPr>
      <w:r w:rsidRPr="008F0698">
        <w:rPr>
          <w:rFonts w:ascii="Arial" w:hAnsi="Arial" w:cs="Arial"/>
          <w:sz w:val="20"/>
          <w:szCs w:val="20"/>
          <w:u w:val="single"/>
        </w:rPr>
        <w:t>No me aplica.</w:t>
      </w:r>
      <w:r w:rsidRPr="008F0698">
        <w:rPr>
          <w:rFonts w:ascii="Arial" w:hAnsi="Arial" w:cs="Arial"/>
          <w:sz w:val="20"/>
          <w:szCs w:val="20"/>
          <w:u w:val="single"/>
        </w:rPr>
        <w:tab/>
      </w:r>
      <w:r w:rsidRPr="008F0698">
        <w:rPr>
          <w:rFonts w:ascii="Arial" w:hAnsi="Arial" w:cs="Arial"/>
          <w:sz w:val="20"/>
          <w:szCs w:val="20"/>
          <w:u w:val="single"/>
        </w:rPr>
        <w:tab/>
      </w:r>
      <w:r w:rsidRPr="008F0698">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3F4302" w:rsidRDefault="003F4302" w:rsidP="003F4302">
      <w:pPr>
        <w:rPr>
          <w:rFonts w:ascii="Arial" w:hAnsi="Arial" w:cs="Arial"/>
          <w:sz w:val="20"/>
          <w:szCs w:val="20"/>
          <w:u w:val="single"/>
        </w:rPr>
      </w:pPr>
    </w:p>
    <w:p w:rsidR="003F4302" w:rsidRPr="006D67B0" w:rsidRDefault="003F4302" w:rsidP="003F4302">
      <w:pPr>
        <w:pStyle w:val="Prrafodelista"/>
        <w:ind w:left="0"/>
        <w:rPr>
          <w:rFonts w:ascii="Arial" w:hAnsi="Arial" w:cs="Arial"/>
          <w:sz w:val="20"/>
          <w:szCs w:val="20"/>
          <w:u w:val="single"/>
        </w:rPr>
      </w:pPr>
      <w:r w:rsidRPr="006D67B0">
        <w:rPr>
          <w:rFonts w:ascii="Arial" w:hAnsi="Arial" w:cs="Arial"/>
          <w:sz w:val="20"/>
          <w:szCs w:val="20"/>
          <w:u w:val="single"/>
        </w:rPr>
        <w:t>Lineamientos y Políticas para el uso, 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p>
    <w:p w:rsidR="003F4302" w:rsidRPr="00E74967" w:rsidRDefault="003F4302" w:rsidP="003F4302">
      <w:pPr>
        <w:rPr>
          <w:rFonts w:cs="Calibri"/>
        </w:rPr>
      </w:pPr>
    </w:p>
    <w:p w:rsidR="003F4302" w:rsidRPr="00E74967" w:rsidRDefault="003F4302" w:rsidP="003F4302">
      <w:pPr>
        <w:rPr>
          <w:rFonts w:cs="Calibri"/>
        </w:rPr>
      </w:pPr>
      <w:r w:rsidRPr="00E74967">
        <w:rPr>
          <w:rFonts w:cs="Calibri"/>
        </w:rPr>
        <w:t>Adicionalmente, se deben incluir las explicaciones de las principales variaciones en el activo, en cuadros comparativos como sigue:</w:t>
      </w:r>
    </w:p>
    <w:p w:rsidR="003F4302" w:rsidRPr="00E74967" w:rsidRDefault="003F4302" w:rsidP="003F4302">
      <w:pPr>
        <w:rPr>
          <w:rFonts w:cs="Calibri"/>
        </w:rPr>
      </w:pPr>
    </w:p>
    <w:p w:rsidR="003F4302" w:rsidRDefault="003F4302" w:rsidP="003F4302">
      <w:pPr>
        <w:numPr>
          <w:ilvl w:val="0"/>
          <w:numId w:val="16"/>
        </w:numPr>
        <w:spacing w:after="0" w:line="240" w:lineRule="auto"/>
        <w:jc w:val="both"/>
        <w:rPr>
          <w:rFonts w:cs="Calibri"/>
        </w:rPr>
      </w:pPr>
      <w:r w:rsidRPr="002878F8">
        <w:rPr>
          <w:rFonts w:cs="Calibri"/>
        </w:rPr>
        <w:t>Inversiones en valores:</w:t>
      </w:r>
    </w:p>
    <w:p w:rsidR="005B7319" w:rsidRDefault="005B7319" w:rsidP="005B7319">
      <w:pPr>
        <w:spacing w:after="0" w:line="240" w:lineRule="auto"/>
        <w:ind w:left="360"/>
        <w:jc w:val="both"/>
        <w:rPr>
          <w:rFonts w:cs="Calibri"/>
        </w:rPr>
      </w:pPr>
    </w:p>
    <w:tbl>
      <w:tblPr>
        <w:tblW w:w="8925" w:type="dxa"/>
        <w:tblInd w:w="55" w:type="dxa"/>
        <w:tblCellMar>
          <w:left w:w="70" w:type="dxa"/>
          <w:right w:w="70" w:type="dxa"/>
        </w:tblCellMar>
        <w:tblLook w:val="04A0" w:firstRow="1" w:lastRow="0" w:firstColumn="1" w:lastColumn="0" w:noHBand="0" w:noVBand="1"/>
      </w:tblPr>
      <w:tblGrid>
        <w:gridCol w:w="1616"/>
        <w:gridCol w:w="3954"/>
        <w:gridCol w:w="1195"/>
        <w:gridCol w:w="1114"/>
        <w:gridCol w:w="1046"/>
      </w:tblGrid>
      <w:tr w:rsidR="00661680" w:rsidRPr="00661680" w:rsidTr="00661680">
        <w:trPr>
          <w:trHeight w:val="276"/>
        </w:trPr>
        <w:tc>
          <w:tcPr>
            <w:tcW w:w="1616" w:type="dxa"/>
            <w:tcBorders>
              <w:top w:val="single" w:sz="8" w:space="0" w:color="auto"/>
              <w:left w:val="single" w:sz="8" w:space="0" w:color="auto"/>
              <w:bottom w:val="single" w:sz="8" w:space="0" w:color="auto"/>
              <w:right w:val="single" w:sz="4" w:space="0" w:color="auto"/>
            </w:tcBorders>
            <w:shd w:val="clear" w:color="000000" w:fill="8DB4E2"/>
            <w:noWrap/>
            <w:vAlign w:val="bottom"/>
            <w:hideMark/>
          </w:tcPr>
          <w:p w:rsidR="00661680" w:rsidRPr="00661680" w:rsidRDefault="00661680" w:rsidP="00661680">
            <w:pPr>
              <w:spacing w:after="0" w:line="240" w:lineRule="auto"/>
              <w:jc w:val="center"/>
              <w:rPr>
                <w:rFonts w:ascii="Arial" w:eastAsia="Times New Roman" w:hAnsi="Arial" w:cs="Arial"/>
                <w:b/>
                <w:bCs/>
                <w:color w:val="000000"/>
                <w:sz w:val="14"/>
                <w:szCs w:val="20"/>
                <w:lang w:eastAsia="es-MX"/>
              </w:rPr>
            </w:pPr>
            <w:proofErr w:type="spellStart"/>
            <w:r w:rsidRPr="00661680">
              <w:rPr>
                <w:rFonts w:ascii="Arial" w:eastAsia="Times New Roman" w:hAnsi="Arial" w:cs="Arial"/>
                <w:b/>
                <w:bCs/>
                <w:color w:val="000000"/>
                <w:sz w:val="14"/>
                <w:szCs w:val="20"/>
                <w:lang w:eastAsia="es-MX"/>
              </w:rPr>
              <w:t>Num</w:t>
            </w:r>
            <w:proofErr w:type="spellEnd"/>
            <w:r w:rsidRPr="00661680">
              <w:rPr>
                <w:rFonts w:ascii="Arial" w:eastAsia="Times New Roman" w:hAnsi="Arial" w:cs="Arial"/>
                <w:b/>
                <w:bCs/>
                <w:color w:val="000000"/>
                <w:sz w:val="14"/>
                <w:szCs w:val="20"/>
                <w:lang w:eastAsia="es-MX"/>
              </w:rPr>
              <w:t>. Cuenta :</w:t>
            </w:r>
          </w:p>
        </w:tc>
        <w:tc>
          <w:tcPr>
            <w:tcW w:w="3954" w:type="dxa"/>
            <w:tcBorders>
              <w:top w:val="single" w:sz="8" w:space="0" w:color="auto"/>
              <w:left w:val="nil"/>
              <w:bottom w:val="single" w:sz="8" w:space="0" w:color="auto"/>
              <w:right w:val="single" w:sz="4" w:space="0" w:color="auto"/>
            </w:tcBorders>
            <w:shd w:val="clear" w:color="000000" w:fill="8DB4E2"/>
            <w:noWrap/>
            <w:vAlign w:val="bottom"/>
            <w:hideMark/>
          </w:tcPr>
          <w:p w:rsidR="00661680" w:rsidRPr="00661680" w:rsidRDefault="00661680" w:rsidP="00661680">
            <w:pPr>
              <w:spacing w:after="0" w:line="240" w:lineRule="auto"/>
              <w:jc w:val="center"/>
              <w:rPr>
                <w:rFonts w:ascii="Arial" w:eastAsia="Times New Roman" w:hAnsi="Arial" w:cs="Arial"/>
                <w:b/>
                <w:bCs/>
                <w:color w:val="000000"/>
                <w:sz w:val="14"/>
                <w:szCs w:val="20"/>
                <w:lang w:eastAsia="es-MX"/>
              </w:rPr>
            </w:pPr>
            <w:r w:rsidRPr="00661680">
              <w:rPr>
                <w:rFonts w:ascii="Arial" w:eastAsia="Times New Roman" w:hAnsi="Arial" w:cs="Arial"/>
                <w:b/>
                <w:bCs/>
                <w:color w:val="000000"/>
                <w:sz w:val="14"/>
                <w:szCs w:val="20"/>
                <w:lang w:eastAsia="es-MX"/>
              </w:rPr>
              <w:t>Descripción :</w:t>
            </w:r>
          </w:p>
        </w:tc>
        <w:tc>
          <w:tcPr>
            <w:tcW w:w="1195" w:type="dxa"/>
            <w:tcBorders>
              <w:top w:val="single" w:sz="8" w:space="0" w:color="auto"/>
              <w:left w:val="nil"/>
              <w:bottom w:val="single" w:sz="8" w:space="0" w:color="auto"/>
              <w:right w:val="single" w:sz="4" w:space="0" w:color="auto"/>
            </w:tcBorders>
            <w:shd w:val="clear" w:color="000000" w:fill="8DB4E2"/>
            <w:noWrap/>
            <w:vAlign w:val="bottom"/>
            <w:hideMark/>
          </w:tcPr>
          <w:p w:rsidR="00661680" w:rsidRPr="00661680" w:rsidRDefault="00661680" w:rsidP="00661680">
            <w:pPr>
              <w:spacing w:after="0" w:line="240" w:lineRule="auto"/>
              <w:jc w:val="center"/>
              <w:rPr>
                <w:rFonts w:ascii="Arial" w:eastAsia="Times New Roman" w:hAnsi="Arial" w:cs="Arial"/>
                <w:b/>
                <w:bCs/>
                <w:color w:val="000000"/>
                <w:sz w:val="14"/>
                <w:szCs w:val="20"/>
                <w:lang w:eastAsia="es-MX"/>
              </w:rPr>
            </w:pPr>
            <w:r w:rsidRPr="00661680">
              <w:rPr>
                <w:rFonts w:ascii="Arial" w:eastAsia="Times New Roman" w:hAnsi="Arial" w:cs="Arial"/>
                <w:b/>
                <w:bCs/>
                <w:color w:val="000000"/>
                <w:sz w:val="14"/>
                <w:szCs w:val="20"/>
                <w:lang w:eastAsia="es-MX"/>
              </w:rPr>
              <w:t>Saldo Anterior :</w:t>
            </w:r>
          </w:p>
        </w:tc>
        <w:tc>
          <w:tcPr>
            <w:tcW w:w="1114" w:type="dxa"/>
            <w:tcBorders>
              <w:top w:val="single" w:sz="8" w:space="0" w:color="auto"/>
              <w:left w:val="nil"/>
              <w:bottom w:val="single" w:sz="8" w:space="0" w:color="auto"/>
              <w:right w:val="single" w:sz="4" w:space="0" w:color="auto"/>
            </w:tcBorders>
            <w:shd w:val="clear" w:color="000000" w:fill="8DB4E2"/>
            <w:noWrap/>
            <w:vAlign w:val="bottom"/>
            <w:hideMark/>
          </w:tcPr>
          <w:p w:rsidR="00661680" w:rsidRPr="00661680" w:rsidRDefault="00661680" w:rsidP="00661680">
            <w:pPr>
              <w:spacing w:after="0" w:line="240" w:lineRule="auto"/>
              <w:jc w:val="center"/>
              <w:rPr>
                <w:rFonts w:ascii="Arial" w:eastAsia="Times New Roman" w:hAnsi="Arial" w:cs="Arial"/>
                <w:b/>
                <w:bCs/>
                <w:color w:val="000000"/>
                <w:sz w:val="14"/>
                <w:szCs w:val="20"/>
                <w:lang w:eastAsia="es-MX"/>
              </w:rPr>
            </w:pPr>
            <w:r w:rsidRPr="00661680">
              <w:rPr>
                <w:rFonts w:ascii="Arial" w:eastAsia="Times New Roman" w:hAnsi="Arial" w:cs="Arial"/>
                <w:b/>
                <w:bCs/>
                <w:color w:val="000000"/>
                <w:sz w:val="14"/>
                <w:szCs w:val="20"/>
                <w:lang w:eastAsia="es-MX"/>
              </w:rPr>
              <w:t>Saldo Actual :</w:t>
            </w:r>
          </w:p>
        </w:tc>
        <w:tc>
          <w:tcPr>
            <w:tcW w:w="1046" w:type="dxa"/>
            <w:tcBorders>
              <w:top w:val="single" w:sz="8" w:space="0" w:color="auto"/>
              <w:left w:val="nil"/>
              <w:bottom w:val="single" w:sz="8" w:space="0" w:color="auto"/>
              <w:right w:val="single" w:sz="8" w:space="0" w:color="auto"/>
            </w:tcBorders>
            <w:shd w:val="clear" w:color="000000" w:fill="8DB4E2"/>
            <w:noWrap/>
            <w:vAlign w:val="bottom"/>
            <w:hideMark/>
          </w:tcPr>
          <w:p w:rsidR="00661680" w:rsidRPr="00661680" w:rsidRDefault="00661680" w:rsidP="00661680">
            <w:pPr>
              <w:spacing w:after="0" w:line="240" w:lineRule="auto"/>
              <w:jc w:val="center"/>
              <w:rPr>
                <w:rFonts w:ascii="Arial" w:eastAsia="Times New Roman" w:hAnsi="Arial" w:cs="Arial"/>
                <w:b/>
                <w:bCs/>
                <w:color w:val="000000"/>
                <w:sz w:val="14"/>
                <w:szCs w:val="20"/>
                <w:lang w:eastAsia="es-MX"/>
              </w:rPr>
            </w:pPr>
            <w:r w:rsidRPr="00661680">
              <w:rPr>
                <w:rFonts w:ascii="Arial" w:eastAsia="Times New Roman" w:hAnsi="Arial" w:cs="Arial"/>
                <w:b/>
                <w:bCs/>
                <w:color w:val="000000"/>
                <w:sz w:val="14"/>
                <w:szCs w:val="20"/>
                <w:lang w:eastAsia="es-MX"/>
              </w:rPr>
              <w:t>Variaciones</w:t>
            </w:r>
          </w:p>
        </w:tc>
      </w:tr>
      <w:tr w:rsidR="00661680" w:rsidRPr="00661680" w:rsidTr="00661680">
        <w:trPr>
          <w:trHeight w:val="261"/>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11090-18-00-00-00-000-0</w:t>
            </w:r>
          </w:p>
        </w:tc>
        <w:tc>
          <w:tcPr>
            <w:tcW w:w="3954"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INSTITUCION FINANCIERA PD.</w:t>
            </w:r>
          </w:p>
        </w:tc>
        <w:tc>
          <w:tcPr>
            <w:tcW w:w="1195"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jc w:val="right"/>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 xml:space="preserve">300,000.00 </w:t>
            </w:r>
          </w:p>
        </w:tc>
        <w:tc>
          <w:tcPr>
            <w:tcW w:w="1114"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jc w:val="right"/>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 xml:space="preserve">100,000.00 </w:t>
            </w:r>
          </w:p>
        </w:tc>
        <w:tc>
          <w:tcPr>
            <w:tcW w:w="1046"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jc w:val="right"/>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-200,000.00</w:t>
            </w:r>
          </w:p>
        </w:tc>
      </w:tr>
      <w:tr w:rsidR="00661680" w:rsidRPr="00661680" w:rsidTr="00661680">
        <w:trPr>
          <w:trHeight w:val="261"/>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11090-29-00-00-00-000-0</w:t>
            </w:r>
          </w:p>
        </w:tc>
        <w:tc>
          <w:tcPr>
            <w:tcW w:w="3954"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BAJIO CTA 3944527 MAESTRA</w:t>
            </w:r>
          </w:p>
        </w:tc>
        <w:tc>
          <w:tcPr>
            <w:tcW w:w="1195"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jc w:val="right"/>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 xml:space="preserve">4,059,960.81 </w:t>
            </w:r>
          </w:p>
        </w:tc>
        <w:tc>
          <w:tcPr>
            <w:tcW w:w="1114"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jc w:val="right"/>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 xml:space="preserve">17,066.61 </w:t>
            </w:r>
          </w:p>
        </w:tc>
        <w:tc>
          <w:tcPr>
            <w:tcW w:w="1046"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jc w:val="right"/>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-4,042,894.20</w:t>
            </w:r>
          </w:p>
        </w:tc>
      </w:tr>
      <w:tr w:rsidR="00661680" w:rsidRPr="00661680" w:rsidTr="00661680">
        <w:trPr>
          <w:trHeight w:val="261"/>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11090-30-00-00-00-000-0</w:t>
            </w:r>
          </w:p>
        </w:tc>
        <w:tc>
          <w:tcPr>
            <w:tcW w:w="3954"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SCOTIABANK INVERSION CONTRATO 76693483</w:t>
            </w:r>
          </w:p>
        </w:tc>
        <w:tc>
          <w:tcPr>
            <w:tcW w:w="1195"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jc w:val="right"/>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 xml:space="preserve">2,373.64 </w:t>
            </w:r>
          </w:p>
        </w:tc>
        <w:tc>
          <w:tcPr>
            <w:tcW w:w="1114"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jc w:val="right"/>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 xml:space="preserve">2,377.27 </w:t>
            </w:r>
          </w:p>
        </w:tc>
        <w:tc>
          <w:tcPr>
            <w:tcW w:w="1046"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jc w:val="right"/>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 xml:space="preserve">3.63 </w:t>
            </w:r>
          </w:p>
        </w:tc>
      </w:tr>
      <w:tr w:rsidR="00661680" w:rsidRPr="00661680" w:rsidTr="00661680">
        <w:trPr>
          <w:trHeight w:val="261"/>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11090-36-00-00-00-000-0</w:t>
            </w:r>
          </w:p>
        </w:tc>
        <w:tc>
          <w:tcPr>
            <w:tcW w:w="3954"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MULTIVA INVERSION A PLAZO FIJO CTA 6451128</w:t>
            </w:r>
          </w:p>
        </w:tc>
        <w:tc>
          <w:tcPr>
            <w:tcW w:w="1195"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jc w:val="right"/>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 xml:space="preserve">4,900,000.00 </w:t>
            </w:r>
          </w:p>
        </w:tc>
        <w:tc>
          <w:tcPr>
            <w:tcW w:w="1114"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jc w:val="right"/>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 xml:space="preserve">0.00 </w:t>
            </w:r>
          </w:p>
        </w:tc>
        <w:tc>
          <w:tcPr>
            <w:tcW w:w="1046"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jc w:val="right"/>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-4,900,000.00</w:t>
            </w:r>
          </w:p>
        </w:tc>
      </w:tr>
      <w:tr w:rsidR="00661680" w:rsidRPr="00661680" w:rsidTr="00661680">
        <w:trPr>
          <w:trHeight w:val="276"/>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11090-37-00-00-00-000-0</w:t>
            </w:r>
          </w:p>
        </w:tc>
        <w:tc>
          <w:tcPr>
            <w:tcW w:w="3954"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MULTIVA INVERSION CON DISP INMEDIATA CTA 6451128 - 6469469</w:t>
            </w:r>
          </w:p>
        </w:tc>
        <w:tc>
          <w:tcPr>
            <w:tcW w:w="1195"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jc w:val="right"/>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 xml:space="preserve">4,588.64 </w:t>
            </w:r>
          </w:p>
        </w:tc>
        <w:tc>
          <w:tcPr>
            <w:tcW w:w="1114"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jc w:val="right"/>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 xml:space="preserve">4,588.64 </w:t>
            </w:r>
          </w:p>
        </w:tc>
        <w:tc>
          <w:tcPr>
            <w:tcW w:w="1046" w:type="dxa"/>
            <w:tcBorders>
              <w:top w:val="nil"/>
              <w:left w:val="nil"/>
              <w:bottom w:val="single" w:sz="4" w:space="0" w:color="auto"/>
              <w:right w:val="single" w:sz="4" w:space="0" w:color="auto"/>
            </w:tcBorders>
            <w:shd w:val="clear" w:color="auto" w:fill="auto"/>
            <w:noWrap/>
            <w:vAlign w:val="center"/>
            <w:hideMark/>
          </w:tcPr>
          <w:p w:rsidR="00661680" w:rsidRPr="00661680" w:rsidRDefault="00661680" w:rsidP="00661680">
            <w:pPr>
              <w:spacing w:after="0" w:line="240" w:lineRule="auto"/>
              <w:jc w:val="right"/>
              <w:rPr>
                <w:rFonts w:ascii="Arial" w:eastAsia="Times New Roman" w:hAnsi="Arial" w:cs="Arial"/>
                <w:color w:val="000000"/>
                <w:sz w:val="14"/>
                <w:szCs w:val="18"/>
                <w:lang w:eastAsia="es-MX"/>
              </w:rPr>
            </w:pPr>
            <w:r w:rsidRPr="00661680">
              <w:rPr>
                <w:rFonts w:ascii="Arial" w:eastAsia="Times New Roman" w:hAnsi="Arial" w:cs="Arial"/>
                <w:color w:val="000000"/>
                <w:sz w:val="14"/>
                <w:szCs w:val="18"/>
                <w:lang w:eastAsia="es-MX"/>
              </w:rPr>
              <w:t xml:space="preserve">0.00 </w:t>
            </w:r>
          </w:p>
        </w:tc>
      </w:tr>
      <w:tr w:rsidR="00661680" w:rsidRPr="00661680" w:rsidTr="00661680">
        <w:trPr>
          <w:trHeight w:val="276"/>
        </w:trPr>
        <w:tc>
          <w:tcPr>
            <w:tcW w:w="1616" w:type="dxa"/>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661680" w:rsidRPr="00661680" w:rsidRDefault="00661680" w:rsidP="00661680">
            <w:pPr>
              <w:spacing w:after="0" w:line="240" w:lineRule="auto"/>
              <w:rPr>
                <w:rFonts w:ascii="Arial" w:eastAsia="Times New Roman" w:hAnsi="Arial" w:cs="Arial"/>
                <w:b/>
                <w:bCs/>
                <w:color w:val="000000"/>
                <w:sz w:val="14"/>
                <w:szCs w:val="18"/>
                <w:lang w:eastAsia="es-MX"/>
              </w:rPr>
            </w:pPr>
            <w:r w:rsidRPr="00661680">
              <w:rPr>
                <w:rFonts w:ascii="Arial" w:eastAsia="Times New Roman" w:hAnsi="Arial" w:cs="Arial"/>
                <w:b/>
                <w:bCs/>
                <w:color w:val="000000"/>
                <w:sz w:val="14"/>
                <w:szCs w:val="18"/>
                <w:lang w:eastAsia="es-MX"/>
              </w:rPr>
              <w:t>11090-00-00-00-00-000-0</w:t>
            </w:r>
          </w:p>
        </w:tc>
        <w:tc>
          <w:tcPr>
            <w:tcW w:w="3954" w:type="dxa"/>
            <w:tcBorders>
              <w:top w:val="single" w:sz="8" w:space="0" w:color="auto"/>
              <w:left w:val="nil"/>
              <w:bottom w:val="single" w:sz="8" w:space="0" w:color="auto"/>
              <w:right w:val="single" w:sz="4" w:space="0" w:color="auto"/>
            </w:tcBorders>
            <w:shd w:val="clear" w:color="000000" w:fill="FFFF00"/>
            <w:noWrap/>
            <w:vAlign w:val="center"/>
            <w:hideMark/>
          </w:tcPr>
          <w:p w:rsidR="00661680" w:rsidRPr="00661680" w:rsidRDefault="00661680" w:rsidP="00661680">
            <w:pPr>
              <w:spacing w:after="0" w:line="240" w:lineRule="auto"/>
              <w:jc w:val="center"/>
              <w:rPr>
                <w:rFonts w:ascii="Arial" w:eastAsia="Times New Roman" w:hAnsi="Arial" w:cs="Arial"/>
                <w:b/>
                <w:bCs/>
                <w:color w:val="000000"/>
                <w:sz w:val="14"/>
                <w:szCs w:val="18"/>
                <w:lang w:eastAsia="es-MX"/>
              </w:rPr>
            </w:pPr>
            <w:r w:rsidRPr="00661680">
              <w:rPr>
                <w:rFonts w:ascii="Arial" w:eastAsia="Times New Roman" w:hAnsi="Arial" w:cs="Arial"/>
                <w:b/>
                <w:bCs/>
                <w:color w:val="000000"/>
                <w:sz w:val="14"/>
                <w:szCs w:val="18"/>
                <w:lang w:eastAsia="es-MX"/>
              </w:rPr>
              <w:t>INVERSIONES</w:t>
            </w:r>
          </w:p>
        </w:tc>
        <w:tc>
          <w:tcPr>
            <w:tcW w:w="1195" w:type="dxa"/>
            <w:tcBorders>
              <w:top w:val="single" w:sz="8" w:space="0" w:color="auto"/>
              <w:left w:val="nil"/>
              <w:bottom w:val="single" w:sz="8" w:space="0" w:color="auto"/>
              <w:right w:val="single" w:sz="4" w:space="0" w:color="auto"/>
            </w:tcBorders>
            <w:shd w:val="clear" w:color="000000" w:fill="FFFF00"/>
            <w:noWrap/>
            <w:vAlign w:val="center"/>
            <w:hideMark/>
          </w:tcPr>
          <w:p w:rsidR="00661680" w:rsidRPr="00661680" w:rsidRDefault="00661680" w:rsidP="00661680">
            <w:pPr>
              <w:spacing w:after="0" w:line="240" w:lineRule="auto"/>
              <w:jc w:val="right"/>
              <w:rPr>
                <w:rFonts w:ascii="Arial" w:eastAsia="Times New Roman" w:hAnsi="Arial" w:cs="Arial"/>
                <w:b/>
                <w:bCs/>
                <w:color w:val="000000"/>
                <w:sz w:val="14"/>
                <w:szCs w:val="18"/>
                <w:lang w:eastAsia="es-MX"/>
              </w:rPr>
            </w:pPr>
            <w:r w:rsidRPr="00661680">
              <w:rPr>
                <w:rFonts w:ascii="Arial" w:eastAsia="Times New Roman" w:hAnsi="Arial" w:cs="Arial"/>
                <w:b/>
                <w:bCs/>
                <w:color w:val="000000"/>
                <w:sz w:val="14"/>
                <w:szCs w:val="18"/>
                <w:lang w:eastAsia="es-MX"/>
              </w:rPr>
              <w:t xml:space="preserve">9,266,923.09 </w:t>
            </w:r>
          </w:p>
        </w:tc>
        <w:tc>
          <w:tcPr>
            <w:tcW w:w="1114" w:type="dxa"/>
            <w:tcBorders>
              <w:top w:val="single" w:sz="8" w:space="0" w:color="auto"/>
              <w:left w:val="nil"/>
              <w:bottom w:val="single" w:sz="8" w:space="0" w:color="auto"/>
              <w:right w:val="single" w:sz="4" w:space="0" w:color="auto"/>
            </w:tcBorders>
            <w:shd w:val="clear" w:color="000000" w:fill="FFFF00"/>
            <w:noWrap/>
            <w:vAlign w:val="center"/>
            <w:hideMark/>
          </w:tcPr>
          <w:p w:rsidR="00661680" w:rsidRPr="00661680" w:rsidRDefault="00661680" w:rsidP="00661680">
            <w:pPr>
              <w:spacing w:after="0" w:line="240" w:lineRule="auto"/>
              <w:jc w:val="right"/>
              <w:rPr>
                <w:rFonts w:ascii="Arial" w:eastAsia="Times New Roman" w:hAnsi="Arial" w:cs="Arial"/>
                <w:b/>
                <w:bCs/>
                <w:color w:val="000000"/>
                <w:sz w:val="14"/>
                <w:szCs w:val="18"/>
                <w:lang w:eastAsia="es-MX"/>
              </w:rPr>
            </w:pPr>
            <w:r w:rsidRPr="00661680">
              <w:rPr>
                <w:rFonts w:ascii="Arial" w:eastAsia="Times New Roman" w:hAnsi="Arial" w:cs="Arial"/>
                <w:b/>
                <w:bCs/>
                <w:color w:val="000000"/>
                <w:sz w:val="14"/>
                <w:szCs w:val="18"/>
                <w:lang w:eastAsia="es-MX"/>
              </w:rPr>
              <w:t xml:space="preserve">124,032.52 </w:t>
            </w:r>
          </w:p>
        </w:tc>
        <w:tc>
          <w:tcPr>
            <w:tcW w:w="1046" w:type="dxa"/>
            <w:tcBorders>
              <w:top w:val="single" w:sz="8" w:space="0" w:color="auto"/>
              <w:left w:val="nil"/>
              <w:bottom w:val="single" w:sz="8" w:space="0" w:color="auto"/>
              <w:right w:val="single" w:sz="4" w:space="0" w:color="auto"/>
            </w:tcBorders>
            <w:shd w:val="clear" w:color="000000" w:fill="FFFF00"/>
            <w:noWrap/>
            <w:vAlign w:val="center"/>
            <w:hideMark/>
          </w:tcPr>
          <w:p w:rsidR="00661680" w:rsidRPr="00661680" w:rsidRDefault="00661680" w:rsidP="00661680">
            <w:pPr>
              <w:spacing w:after="0" w:line="240" w:lineRule="auto"/>
              <w:jc w:val="right"/>
              <w:rPr>
                <w:rFonts w:ascii="Arial" w:eastAsia="Times New Roman" w:hAnsi="Arial" w:cs="Arial"/>
                <w:b/>
                <w:bCs/>
                <w:color w:val="000000"/>
                <w:sz w:val="14"/>
                <w:szCs w:val="18"/>
                <w:lang w:eastAsia="es-MX"/>
              </w:rPr>
            </w:pPr>
            <w:r w:rsidRPr="00661680">
              <w:rPr>
                <w:rFonts w:ascii="Arial" w:eastAsia="Times New Roman" w:hAnsi="Arial" w:cs="Arial"/>
                <w:b/>
                <w:bCs/>
                <w:color w:val="000000"/>
                <w:sz w:val="14"/>
                <w:szCs w:val="18"/>
                <w:lang w:eastAsia="es-MX"/>
              </w:rPr>
              <w:t>-9,142,890.57</w:t>
            </w:r>
          </w:p>
        </w:tc>
      </w:tr>
    </w:tbl>
    <w:p w:rsidR="00661680" w:rsidRDefault="00661680" w:rsidP="005B7319">
      <w:pPr>
        <w:spacing w:after="0" w:line="240" w:lineRule="auto"/>
        <w:ind w:left="360"/>
        <w:jc w:val="both"/>
        <w:rPr>
          <w:rFonts w:cs="Calibri"/>
        </w:rPr>
      </w:pPr>
    </w:p>
    <w:p w:rsidR="003F4302" w:rsidRPr="00E74967" w:rsidRDefault="003F4302" w:rsidP="003F4302">
      <w:pPr>
        <w:rPr>
          <w:rFonts w:cs="Calibri"/>
        </w:rPr>
      </w:pPr>
      <w:r w:rsidRPr="00E74967">
        <w:rPr>
          <w:rFonts w:cs="Calibri"/>
          <w:b/>
        </w:rPr>
        <w:t>b)</w:t>
      </w:r>
      <w:r w:rsidRPr="00E74967">
        <w:rPr>
          <w:rFonts w:cs="Calibri"/>
        </w:rPr>
        <w:t xml:space="preserve"> Patrimonio de Organismos descentralizados de Control Presupuestario Indirecto:</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c)</w:t>
      </w:r>
      <w:r w:rsidRPr="00E74967">
        <w:rPr>
          <w:rFonts w:cs="Calibri"/>
        </w:rPr>
        <w:t xml:space="preserve"> Inversiones en empresas de participación mayoritaria:</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d)</w:t>
      </w:r>
      <w:r w:rsidRPr="00E74967">
        <w:rPr>
          <w:rFonts w:cs="Calibri"/>
        </w:rPr>
        <w:t xml:space="preserve"> Inversiones en empresas de participación minoritaria:</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e)</w:t>
      </w:r>
      <w:r w:rsidRPr="00E74967">
        <w:rPr>
          <w:rFonts w:cs="Calibri"/>
        </w:rPr>
        <w:t xml:space="preserve"> Patrimonio de organismos descentralizados de control presupuestario directo, según corresponda:</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p>
    <w:p w:rsidR="003F4302" w:rsidRPr="00E74967" w:rsidRDefault="003F4302" w:rsidP="003F4302">
      <w:pPr>
        <w:rPr>
          <w:rFonts w:cs="Calibri"/>
          <w:b/>
        </w:rPr>
      </w:pPr>
      <w:r w:rsidRPr="00E74967">
        <w:rPr>
          <w:rFonts w:cs="Calibri"/>
          <w:b/>
        </w:rPr>
        <w:t>9. Fideicomisos, Mandatos y Análogos:</w:t>
      </w:r>
    </w:p>
    <w:p w:rsidR="003F4302" w:rsidRPr="00E74967" w:rsidRDefault="003F4302" w:rsidP="003F4302">
      <w:pPr>
        <w:rPr>
          <w:rFonts w:cs="Calibri"/>
        </w:rPr>
      </w:pPr>
    </w:p>
    <w:p w:rsidR="003F4302" w:rsidRPr="00E74967" w:rsidRDefault="003F4302" w:rsidP="003F4302">
      <w:pPr>
        <w:rPr>
          <w:rFonts w:cs="Calibri"/>
        </w:rPr>
      </w:pPr>
      <w:r w:rsidRPr="00E74967">
        <w:rPr>
          <w:rFonts w:cs="Calibri"/>
        </w:rPr>
        <w:t>Se deberá informar:</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a)</w:t>
      </w:r>
      <w:r w:rsidRPr="00E74967">
        <w:rPr>
          <w:rFonts w:cs="Calibri"/>
        </w:rPr>
        <w:t xml:space="preserve"> Por ramo administrativo que los reporta:</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3F4302" w:rsidRDefault="003F4302" w:rsidP="003F4302">
      <w:pPr>
        <w:rPr>
          <w:rFonts w:ascii="Arial" w:hAnsi="Arial" w:cs="Arial"/>
          <w:sz w:val="20"/>
          <w:szCs w:val="20"/>
          <w:u w:val="single"/>
        </w:rPr>
      </w:pPr>
    </w:p>
    <w:p w:rsidR="003F4302"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012B3A" w:rsidRPr="00012B3A" w:rsidRDefault="00012B3A" w:rsidP="00012B3A">
      <w:pPr>
        <w:jc w:val="both"/>
        <w:rPr>
          <w:rFonts w:asciiTheme="minorHAnsi" w:hAnsiTheme="minorHAnsi" w:cstheme="minorHAnsi"/>
          <w:b/>
          <w:bCs/>
        </w:rPr>
      </w:pPr>
      <w:r w:rsidRPr="00012B3A">
        <w:rPr>
          <w:rFonts w:asciiTheme="minorHAnsi" w:hAnsiTheme="minorHAnsi" w:cstheme="minorHAnsi"/>
          <w:b/>
          <w:bCs/>
        </w:rPr>
        <w:t xml:space="preserve">10. Reporte de la Recaudación:                       </w:t>
      </w:r>
    </w:p>
    <w:p w:rsidR="00012B3A" w:rsidRPr="00012B3A" w:rsidRDefault="00012B3A" w:rsidP="00012B3A">
      <w:pPr>
        <w:jc w:val="both"/>
        <w:rPr>
          <w:rFonts w:asciiTheme="minorHAnsi" w:hAnsiTheme="minorHAnsi" w:cstheme="minorHAnsi"/>
        </w:rPr>
      </w:pPr>
      <w:r w:rsidRPr="00012B3A">
        <w:rPr>
          <w:rFonts w:asciiTheme="minorHAnsi" w:hAnsiTheme="minorHAnsi" w:cstheme="minorHAnsi"/>
        </w:rPr>
        <w:t>a) Análisis del comportamiento de la recaudación correspondiente al ente público o cualquier tipo de ingreso, de forma separada los ingresos locales de los federales:</w:t>
      </w:r>
    </w:p>
    <w:p w:rsidR="00012B3A" w:rsidRPr="00012B3A" w:rsidRDefault="00012B3A" w:rsidP="00012B3A">
      <w:pPr>
        <w:jc w:val="both"/>
        <w:rPr>
          <w:rFonts w:asciiTheme="minorHAnsi" w:hAnsiTheme="minorHAnsi" w:cstheme="minorHAnsi"/>
          <w:bCs/>
          <w:u w:val="single"/>
        </w:rPr>
      </w:pPr>
      <w:r w:rsidRPr="00012B3A">
        <w:rPr>
          <w:rFonts w:asciiTheme="minorHAnsi" w:hAnsiTheme="minorHAnsi" w:cstheme="minorHAnsi"/>
          <w:u w:val="single"/>
        </w:rPr>
        <w:t xml:space="preserve">En el mes de </w:t>
      </w:r>
      <w:r w:rsidRPr="00012B3A">
        <w:rPr>
          <w:rFonts w:asciiTheme="minorHAnsi" w:hAnsiTheme="minorHAnsi" w:cstheme="minorHAnsi"/>
          <w:bCs/>
          <w:u w:val="single"/>
        </w:rPr>
        <w:t>Diciembre del 2017</w:t>
      </w:r>
      <w:r w:rsidRPr="00012B3A">
        <w:rPr>
          <w:rFonts w:asciiTheme="minorHAnsi" w:hAnsiTheme="minorHAnsi" w:cstheme="minorHAnsi"/>
          <w:u w:val="single"/>
        </w:rPr>
        <w:t xml:space="preserve"> se obtuvo una recaudación acumulada de </w:t>
      </w:r>
      <w:r w:rsidRPr="00012B3A">
        <w:rPr>
          <w:rFonts w:asciiTheme="minorHAnsi" w:hAnsiTheme="minorHAnsi" w:cstheme="minorHAnsi"/>
          <w:bCs/>
          <w:u w:val="single"/>
        </w:rPr>
        <w:t>$238´877,770</w:t>
      </w:r>
      <w:r w:rsidRPr="00012B3A">
        <w:rPr>
          <w:rFonts w:asciiTheme="minorHAnsi" w:hAnsiTheme="minorHAnsi" w:cstheme="minorHAnsi"/>
          <w:u w:val="single"/>
        </w:rPr>
        <w:t xml:space="preserve"> (</w:t>
      </w:r>
      <w:r w:rsidRPr="00012B3A">
        <w:rPr>
          <w:rFonts w:asciiTheme="minorHAnsi" w:hAnsiTheme="minorHAnsi" w:cstheme="minorHAnsi"/>
          <w:bCs/>
          <w:u w:val="single"/>
        </w:rPr>
        <w:t>102.94%</w:t>
      </w:r>
      <w:r w:rsidRPr="00012B3A">
        <w:rPr>
          <w:rFonts w:asciiTheme="minorHAnsi" w:hAnsiTheme="minorHAnsi" w:cstheme="minorHAnsi"/>
          <w:u w:val="single"/>
        </w:rPr>
        <w:t xml:space="preserve"> de lo presupuestado) por el cobro de los servicios de agua potable, alcantarillado y saneamiento correspondiente al mes de referencia.</w:t>
      </w:r>
    </w:p>
    <w:p w:rsidR="00012B3A" w:rsidRPr="00012B3A" w:rsidRDefault="00012B3A" w:rsidP="00012B3A">
      <w:pPr>
        <w:jc w:val="both"/>
        <w:rPr>
          <w:rFonts w:asciiTheme="minorHAnsi" w:hAnsiTheme="minorHAnsi" w:cstheme="minorHAnsi"/>
        </w:rPr>
      </w:pPr>
      <w:r w:rsidRPr="00012B3A">
        <w:rPr>
          <w:rFonts w:asciiTheme="minorHAnsi" w:hAnsiTheme="minorHAnsi" w:cstheme="minorHAnsi"/>
        </w:rPr>
        <w:t>b) Proyección de la recaudación e ingresos en el mediano plazo:</w:t>
      </w:r>
    </w:p>
    <w:p w:rsidR="00012B3A" w:rsidRPr="00012B3A" w:rsidRDefault="00012B3A" w:rsidP="00012B3A">
      <w:pPr>
        <w:jc w:val="both"/>
        <w:rPr>
          <w:rFonts w:asciiTheme="minorHAnsi" w:hAnsiTheme="minorHAnsi" w:cstheme="minorHAnsi"/>
          <w:lang w:val="es-ES"/>
        </w:rPr>
      </w:pPr>
      <w:r w:rsidRPr="00012B3A">
        <w:rPr>
          <w:rFonts w:asciiTheme="minorHAnsi" w:hAnsiTheme="minorHAnsi" w:cstheme="minorHAnsi"/>
          <w:u w:val="single"/>
        </w:rPr>
        <w:t xml:space="preserve">Se proyecta recaudar un total de </w:t>
      </w:r>
      <w:r w:rsidRPr="00012B3A">
        <w:rPr>
          <w:rFonts w:asciiTheme="minorHAnsi" w:hAnsiTheme="minorHAnsi" w:cstheme="minorHAnsi"/>
          <w:bCs/>
          <w:u w:val="single"/>
        </w:rPr>
        <w:t>$425’714,983</w:t>
      </w:r>
      <w:r w:rsidRPr="00012B3A">
        <w:rPr>
          <w:rFonts w:asciiTheme="minorHAnsi" w:hAnsiTheme="minorHAnsi" w:cstheme="minorHAnsi"/>
          <w:u w:val="single"/>
        </w:rPr>
        <w:t xml:space="preserve"> en todo el año por el servicio de agua potable y alcantarillado y cobro por los demás servicios que prestamos como son: cobro de derechos, contratos, instalaciones de toma y de descargas y la recuperación de rezago por los adeudos de los servicios de agua potable y alcantarillado. Al cierre de </w:t>
      </w:r>
      <w:r w:rsidRPr="00012B3A">
        <w:rPr>
          <w:rFonts w:asciiTheme="minorHAnsi" w:hAnsiTheme="minorHAnsi" w:cstheme="minorHAnsi"/>
          <w:bCs/>
          <w:u w:val="single"/>
        </w:rPr>
        <w:t>Diciembre de 2017</w:t>
      </w:r>
      <w:r w:rsidRPr="00012B3A">
        <w:rPr>
          <w:rFonts w:asciiTheme="minorHAnsi" w:hAnsiTheme="minorHAnsi" w:cstheme="minorHAnsi"/>
          <w:u w:val="single"/>
        </w:rPr>
        <w:t xml:space="preserve">, se logró recaudar un total de </w:t>
      </w:r>
      <w:r w:rsidRPr="00012B3A">
        <w:rPr>
          <w:rFonts w:asciiTheme="minorHAnsi" w:hAnsiTheme="minorHAnsi" w:cstheme="minorHAnsi"/>
          <w:bCs/>
          <w:u w:val="single"/>
        </w:rPr>
        <w:t>$445´418,312</w:t>
      </w:r>
      <w:r w:rsidRPr="00012B3A">
        <w:rPr>
          <w:rFonts w:asciiTheme="minorHAnsi" w:hAnsiTheme="minorHAnsi" w:cstheme="minorHAnsi"/>
          <w:u w:val="single"/>
        </w:rPr>
        <w:t xml:space="preserve">. </w:t>
      </w:r>
      <w:r w:rsidRPr="00012B3A">
        <w:rPr>
          <w:rFonts w:asciiTheme="minorHAnsi" w:hAnsiTheme="minorHAnsi" w:cstheme="minorHAnsi"/>
          <w:u w:val="single"/>
          <w:lang w:val="es-ES"/>
        </w:rPr>
        <w:t xml:space="preserve">Lo anterior representa un </w:t>
      </w:r>
      <w:r w:rsidRPr="00012B3A">
        <w:rPr>
          <w:rFonts w:asciiTheme="minorHAnsi" w:hAnsiTheme="minorHAnsi" w:cstheme="minorHAnsi"/>
          <w:bCs/>
          <w:u w:val="single"/>
          <w:lang w:val="es-ES"/>
        </w:rPr>
        <w:t>104.63%</w:t>
      </w:r>
      <w:r w:rsidRPr="00012B3A">
        <w:rPr>
          <w:rFonts w:asciiTheme="minorHAnsi" w:hAnsiTheme="minorHAnsi" w:cstheme="minorHAnsi"/>
          <w:u w:val="single"/>
          <w:lang w:val="es-ES"/>
        </w:rPr>
        <w:t xml:space="preserve"> del total presupuestado.</w:t>
      </w:r>
    </w:p>
    <w:p w:rsidR="003F4302" w:rsidRPr="00E74967" w:rsidRDefault="003F4302" w:rsidP="003F4302">
      <w:pPr>
        <w:rPr>
          <w:rFonts w:cs="Calibri"/>
          <w:b/>
        </w:rPr>
      </w:pPr>
      <w:r w:rsidRPr="00C14C8B">
        <w:rPr>
          <w:rFonts w:cs="Calibri"/>
          <w:b/>
        </w:rPr>
        <w:t>11. Información sobre la Deuda y el Reporte Analítico de la Deuda:</w:t>
      </w:r>
    </w:p>
    <w:p w:rsidR="003F4302" w:rsidRPr="00E74967" w:rsidRDefault="003F4302" w:rsidP="003F4302">
      <w:pPr>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3F4302" w:rsidRPr="00E74967" w:rsidRDefault="003F4302" w:rsidP="003F4302">
      <w:pPr>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3F4302" w:rsidRPr="00E74967" w:rsidRDefault="003F4302" w:rsidP="003F4302">
      <w:pPr>
        <w:rPr>
          <w:rFonts w:cs="Calibri"/>
        </w:rPr>
      </w:pPr>
      <w:r w:rsidRPr="00E74967">
        <w:rPr>
          <w:rFonts w:cs="Calibri"/>
        </w:rPr>
        <w:t>* Se anexara la información en las notas de desglose.</w:t>
      </w:r>
    </w:p>
    <w:p w:rsidR="003F4302" w:rsidRPr="00E74967" w:rsidRDefault="000A0EC9" w:rsidP="003F4302">
      <w:pPr>
        <w:rPr>
          <w:rFonts w:cs="Calibri"/>
        </w:rPr>
      </w:pPr>
      <w:r>
        <w:rPr>
          <w:rFonts w:cs="Calibri"/>
        </w:rPr>
        <w:t>SE LIQUIDO LA DEUDA QUE SE TIENE CON BANOBRAS</w:t>
      </w:r>
    </w:p>
    <w:p w:rsidR="003F4302" w:rsidRPr="00E74967" w:rsidRDefault="003F4302" w:rsidP="003F4302">
      <w:pPr>
        <w:rPr>
          <w:rFonts w:cs="Calibri"/>
          <w:b/>
        </w:rPr>
      </w:pPr>
      <w:r w:rsidRPr="00E74967">
        <w:rPr>
          <w:rFonts w:cs="Calibri"/>
          <w:b/>
        </w:rPr>
        <w:lastRenderedPageBreak/>
        <w:t>12. Calificaciones otorgadas:</w:t>
      </w:r>
    </w:p>
    <w:p w:rsidR="003F4302" w:rsidRPr="00E74967" w:rsidRDefault="003F4302" w:rsidP="003F4302">
      <w:pPr>
        <w:rPr>
          <w:rFonts w:cs="Calibri"/>
        </w:rPr>
      </w:pPr>
    </w:p>
    <w:p w:rsidR="003F4302" w:rsidRPr="00E74967" w:rsidRDefault="003F4302" w:rsidP="003F4302">
      <w:pPr>
        <w:rPr>
          <w:rFonts w:cs="Calibri"/>
        </w:rPr>
      </w:pPr>
      <w:r w:rsidRPr="00E74967">
        <w:rPr>
          <w:rFonts w:cs="Calibri"/>
        </w:rPr>
        <w:t>Informar, tanto del ente público como cualquier transacción realizada, que haya sido sujeta a una calificación crediticia:</w:t>
      </w:r>
    </w:p>
    <w:p w:rsidR="003F4302" w:rsidRDefault="003F4302" w:rsidP="003F4302">
      <w:pPr>
        <w:rPr>
          <w:rFonts w:ascii="Arial" w:hAnsi="Arial" w:cs="Arial"/>
          <w:sz w:val="20"/>
          <w:szCs w:val="20"/>
          <w:u w:val="single"/>
        </w:rPr>
      </w:pPr>
    </w:p>
    <w:p w:rsidR="003F4302" w:rsidRPr="00712529"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p>
    <w:p w:rsidR="003F4302" w:rsidRPr="00E74967" w:rsidRDefault="003F4302" w:rsidP="003F4302">
      <w:pPr>
        <w:rPr>
          <w:rFonts w:cs="Calibri"/>
          <w:b/>
        </w:rPr>
      </w:pPr>
      <w:r w:rsidRPr="00E74967">
        <w:rPr>
          <w:rFonts w:cs="Calibri"/>
          <w:b/>
        </w:rPr>
        <w:t>13. Proceso de Mejora:</w:t>
      </w:r>
    </w:p>
    <w:p w:rsidR="003F4302" w:rsidRPr="00E74967" w:rsidRDefault="003F4302" w:rsidP="003F4302">
      <w:pPr>
        <w:rPr>
          <w:rFonts w:cs="Calibri"/>
        </w:rPr>
      </w:pPr>
    </w:p>
    <w:p w:rsidR="003F4302" w:rsidRPr="00E74967" w:rsidRDefault="003F4302" w:rsidP="003F4302">
      <w:pPr>
        <w:rPr>
          <w:rFonts w:cs="Calibri"/>
        </w:rPr>
      </w:pPr>
      <w:r w:rsidRPr="00E74967">
        <w:rPr>
          <w:rFonts w:cs="Calibri"/>
        </w:rPr>
        <w:t>Se informará de:</w:t>
      </w:r>
    </w:p>
    <w:p w:rsidR="003F4302" w:rsidRPr="00E74967" w:rsidRDefault="003F4302" w:rsidP="003F4302">
      <w:pPr>
        <w:rPr>
          <w:rFonts w:cs="Calibri"/>
        </w:rPr>
      </w:pPr>
    </w:p>
    <w:p w:rsidR="003F4302" w:rsidRPr="00E74967" w:rsidRDefault="003F4302" w:rsidP="003F4302">
      <w:pPr>
        <w:rPr>
          <w:rFonts w:cs="Calibri"/>
        </w:rPr>
      </w:pPr>
      <w:r w:rsidRPr="00E74967">
        <w:rPr>
          <w:rFonts w:cs="Calibri"/>
          <w:b/>
        </w:rPr>
        <w:t>a)</w:t>
      </w:r>
      <w:r w:rsidRPr="00E74967">
        <w:rPr>
          <w:rFonts w:cs="Calibri"/>
        </w:rPr>
        <w:t xml:space="preserve"> Principales Políticas de control interno:</w:t>
      </w:r>
    </w:p>
    <w:p w:rsidR="003F4302" w:rsidRDefault="003F4302" w:rsidP="003F4302">
      <w:pPr>
        <w:rPr>
          <w:rFonts w:ascii="Arial" w:hAnsi="Arial" w:cs="Arial"/>
          <w:sz w:val="20"/>
          <w:szCs w:val="20"/>
          <w:u w:val="single"/>
        </w:rPr>
      </w:pPr>
    </w:p>
    <w:p w:rsidR="003F4302" w:rsidRPr="00E5617B" w:rsidRDefault="003F4302" w:rsidP="003F4302">
      <w:pPr>
        <w:rPr>
          <w:rFonts w:ascii="Arial" w:hAnsi="Arial" w:cs="Arial"/>
          <w:sz w:val="20"/>
          <w:szCs w:val="20"/>
          <w:u w:val="single"/>
        </w:rPr>
      </w:pPr>
      <w:r w:rsidRPr="008F0698">
        <w:rPr>
          <w:rFonts w:ascii="Arial" w:hAnsi="Arial" w:cs="Arial"/>
          <w:sz w:val="20"/>
          <w:szCs w:val="20"/>
          <w:u w:val="single"/>
        </w:rPr>
        <w:t>Lineamientos de Austeridad, Racionalidad y Disciplina Presupuestal para el Ejercicio 201</w:t>
      </w:r>
      <w:r w:rsidR="00091B15">
        <w:rPr>
          <w:rFonts w:ascii="Arial" w:hAnsi="Arial" w:cs="Arial"/>
          <w:sz w:val="20"/>
          <w:szCs w:val="20"/>
          <w:u w:val="single"/>
        </w:rPr>
        <w:t>7</w:t>
      </w:r>
      <w:r w:rsidRPr="008F0698">
        <w:rPr>
          <w:rFonts w:ascii="Arial" w:hAnsi="Arial" w:cs="Arial"/>
          <w:sz w:val="20"/>
          <w:szCs w:val="20"/>
          <w:u w:val="single"/>
        </w:rPr>
        <w:t xml:space="preserve">, </w:t>
      </w:r>
      <w:r w:rsidRPr="00E5617B">
        <w:rPr>
          <w:rFonts w:ascii="Arial" w:hAnsi="Arial" w:cs="Arial"/>
          <w:sz w:val="20"/>
          <w:szCs w:val="20"/>
          <w:u w:val="single"/>
        </w:rPr>
        <w:t xml:space="preserve">Reglamento Interior de Trabajo, Contrato Colectivo de Trabajo, Lineamientos Generales para el Trato a los empleados de Confianza, Política de Calidad. </w:t>
      </w:r>
    </w:p>
    <w:p w:rsidR="003F4302" w:rsidRPr="00E74967" w:rsidRDefault="003F4302" w:rsidP="003F4302">
      <w:pPr>
        <w:rPr>
          <w:rFonts w:cs="Calibri"/>
        </w:rPr>
      </w:pPr>
    </w:p>
    <w:p w:rsidR="003F4302" w:rsidRDefault="003F4302" w:rsidP="003F4302">
      <w:pPr>
        <w:numPr>
          <w:ilvl w:val="0"/>
          <w:numId w:val="16"/>
        </w:numPr>
        <w:spacing w:after="0" w:line="240" w:lineRule="auto"/>
        <w:jc w:val="both"/>
        <w:rPr>
          <w:rFonts w:cs="Calibri"/>
        </w:rPr>
      </w:pPr>
      <w:r w:rsidRPr="00E74967">
        <w:rPr>
          <w:rFonts w:cs="Calibri"/>
        </w:rPr>
        <w:t>Medidas de desempeño financiero, metas y alcance:</w:t>
      </w:r>
    </w:p>
    <w:p w:rsidR="003F4302" w:rsidRDefault="003F4302" w:rsidP="003F4302">
      <w:pPr>
        <w:rPr>
          <w:rFonts w:cs="Calibri"/>
          <w:b/>
        </w:rPr>
      </w:pPr>
    </w:p>
    <w:p w:rsidR="003F4302" w:rsidRPr="00E74967" w:rsidRDefault="003F4302" w:rsidP="003F4302">
      <w:pPr>
        <w:rPr>
          <w:rFonts w:cs="Calibri"/>
          <w:b/>
        </w:rPr>
      </w:pPr>
      <w:r w:rsidRPr="00E74967">
        <w:rPr>
          <w:rFonts w:cs="Calibri"/>
          <w:b/>
        </w:rPr>
        <w:t>14. Información por Segmentos:</w:t>
      </w:r>
    </w:p>
    <w:p w:rsidR="003F4302" w:rsidRPr="00E74967" w:rsidRDefault="003F4302" w:rsidP="003F4302">
      <w:pPr>
        <w:rPr>
          <w:rFonts w:cs="Calibri"/>
        </w:rPr>
      </w:pPr>
    </w:p>
    <w:p w:rsidR="003F4302" w:rsidRPr="00E74967" w:rsidRDefault="003F4302" w:rsidP="003F4302">
      <w:pPr>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F4302" w:rsidRPr="00E74967" w:rsidRDefault="003F4302" w:rsidP="003F4302">
      <w:pPr>
        <w:rPr>
          <w:rFonts w:cs="Calibri"/>
        </w:rPr>
      </w:pPr>
    </w:p>
    <w:p w:rsidR="003F4302" w:rsidRPr="00E74967" w:rsidRDefault="003F4302" w:rsidP="003F4302">
      <w:pPr>
        <w:rPr>
          <w:rFonts w:cs="Calibri"/>
        </w:rPr>
      </w:pPr>
      <w:r w:rsidRPr="00E74967">
        <w:rPr>
          <w:rFonts w:cs="Calibri"/>
        </w:rPr>
        <w:lastRenderedPageBreak/>
        <w:t>Consecuentemente, esta información contribuye al análisis más preciso de la situación financiera, grados y fuentes de riesgo y crecimiento potencial de negocio.</w:t>
      </w:r>
    </w:p>
    <w:p w:rsidR="003F4302" w:rsidRPr="00590483" w:rsidRDefault="003F4302" w:rsidP="003F4302">
      <w:pPr>
        <w:rPr>
          <w:rFonts w:cs="Calibri"/>
          <w:b/>
        </w:rPr>
      </w:pPr>
      <w:r w:rsidRPr="00590483">
        <w:rPr>
          <w:rFonts w:cs="Calibri"/>
          <w:b/>
        </w:rPr>
        <w:t>15. Eventos Posteriores al Cierre:</w:t>
      </w:r>
    </w:p>
    <w:p w:rsidR="003F4302" w:rsidRPr="0060066F" w:rsidRDefault="003F4302" w:rsidP="003F4302">
      <w:pPr>
        <w:rPr>
          <w:rFonts w:cs="Calibri"/>
          <w:i/>
        </w:rPr>
      </w:pPr>
      <w:r w:rsidRPr="0060066F">
        <w:rPr>
          <w:rFonts w:cs="Calibri"/>
          <w: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60066F">
        <w:rPr>
          <w:rFonts w:cs="Calibri"/>
          <w:i/>
        </w:rPr>
        <w:cr/>
      </w:r>
    </w:p>
    <w:p w:rsidR="00002063" w:rsidRDefault="00590483" w:rsidP="00590483">
      <w:pPr>
        <w:jc w:val="both"/>
        <w:rPr>
          <w:rFonts w:cs="Calibri"/>
        </w:rPr>
      </w:pPr>
      <w:r>
        <w:rPr>
          <w:rFonts w:cs="Calibri"/>
        </w:rPr>
        <w:t>Con fecha 16 d</w:t>
      </w:r>
      <w:r w:rsidR="0060066F">
        <w:rPr>
          <w:rFonts w:cs="Calibri"/>
        </w:rPr>
        <w:t xml:space="preserve">e Noviembre de 2017, </w:t>
      </w:r>
      <w:r>
        <w:rPr>
          <w:rFonts w:cs="Calibri"/>
        </w:rPr>
        <w:t>en el Comité de Adquisicio</w:t>
      </w:r>
      <w:r w:rsidR="00663AAC">
        <w:rPr>
          <w:rFonts w:cs="Calibri"/>
        </w:rPr>
        <w:t xml:space="preserve">nes </w:t>
      </w:r>
      <w:r w:rsidR="00002063">
        <w:rPr>
          <w:rFonts w:cs="Calibri"/>
        </w:rPr>
        <w:t xml:space="preserve">y Obra Pública de la Junta </w:t>
      </w:r>
      <w:r w:rsidR="000D18E0">
        <w:rPr>
          <w:rFonts w:cs="Calibri"/>
        </w:rPr>
        <w:t xml:space="preserve">Municipal de Agua Potable y Alcantarillado de Celaya, </w:t>
      </w:r>
      <w:proofErr w:type="spellStart"/>
      <w:r w:rsidR="000D18E0">
        <w:rPr>
          <w:rFonts w:cs="Calibri"/>
        </w:rPr>
        <w:t>Gto</w:t>
      </w:r>
      <w:proofErr w:type="spellEnd"/>
      <w:r w:rsidR="000D18E0">
        <w:rPr>
          <w:rFonts w:cs="Calibri"/>
        </w:rPr>
        <w:t xml:space="preserve">., Acta 20/2017 Vigésima Sesión </w:t>
      </w:r>
      <w:r w:rsidR="00002063">
        <w:rPr>
          <w:rFonts w:cs="Calibri"/>
        </w:rPr>
        <w:t>O</w:t>
      </w:r>
      <w:r>
        <w:rPr>
          <w:rFonts w:cs="Calibri"/>
        </w:rPr>
        <w:t>rdinaria</w:t>
      </w:r>
      <w:r w:rsidR="0060066F">
        <w:rPr>
          <w:rFonts w:cs="Calibri"/>
        </w:rPr>
        <w:t xml:space="preserve"> de</w:t>
      </w:r>
      <w:r w:rsidR="00002063">
        <w:rPr>
          <w:rFonts w:cs="Calibri"/>
        </w:rPr>
        <w:t>l</w:t>
      </w:r>
      <w:r w:rsidR="0060066F">
        <w:rPr>
          <w:rFonts w:cs="Calibri"/>
        </w:rPr>
        <w:t xml:space="preserve"> 2017,</w:t>
      </w:r>
      <w:r w:rsidR="00663AAC">
        <w:rPr>
          <w:rFonts w:cs="Calibri"/>
        </w:rPr>
        <w:t xml:space="preserve"> se autorizó </w:t>
      </w:r>
      <w:r>
        <w:rPr>
          <w:rFonts w:cs="Calibri"/>
        </w:rPr>
        <w:t xml:space="preserve"> la </w:t>
      </w:r>
      <w:r w:rsidR="00002063">
        <w:rPr>
          <w:rFonts w:cs="Calibri"/>
        </w:rPr>
        <w:t>adjudicación para la Adquisición e Instalación de</w:t>
      </w:r>
      <w:r>
        <w:rPr>
          <w:rFonts w:cs="Calibri"/>
        </w:rPr>
        <w:t xml:space="preserve"> Sistema de Filtración por </w:t>
      </w:r>
      <w:r w:rsidR="00002063">
        <w:rPr>
          <w:rFonts w:cs="Calibri"/>
        </w:rPr>
        <w:t>Anillas con capacidad de 100 l</w:t>
      </w:r>
      <w:r>
        <w:rPr>
          <w:rFonts w:cs="Calibri"/>
        </w:rPr>
        <w:t>/s</w:t>
      </w:r>
      <w:r w:rsidR="00663AAC">
        <w:rPr>
          <w:rFonts w:cs="Calibri"/>
        </w:rPr>
        <w:t>, mismos que quedaron</w:t>
      </w:r>
      <w:r w:rsidR="00002063">
        <w:rPr>
          <w:rFonts w:cs="Calibri"/>
        </w:rPr>
        <w:t xml:space="preserve"> contratados como sigue</w:t>
      </w:r>
      <w:r w:rsidR="00002063" w:rsidRPr="00002063">
        <w:rPr>
          <w:rFonts w:cs="Calibri"/>
        </w:rPr>
        <w:t xml:space="preserve"> </w:t>
      </w:r>
      <w:r w:rsidR="00002063">
        <w:rPr>
          <w:rFonts w:cs="Calibri"/>
        </w:rPr>
        <w:t>y que corresponden al año Fiscal 2017:</w:t>
      </w:r>
    </w:p>
    <w:tbl>
      <w:tblPr>
        <w:tblStyle w:val="Tablaconcuadrcula"/>
        <w:tblW w:w="0" w:type="auto"/>
        <w:jc w:val="center"/>
        <w:tblLook w:val="04A0" w:firstRow="1" w:lastRow="0" w:firstColumn="1" w:lastColumn="0" w:noHBand="0" w:noVBand="1"/>
      </w:tblPr>
      <w:tblGrid>
        <w:gridCol w:w="1521"/>
        <w:gridCol w:w="4639"/>
        <w:gridCol w:w="2894"/>
      </w:tblGrid>
      <w:tr w:rsidR="00002063" w:rsidRPr="00002063" w:rsidTr="00002063">
        <w:trPr>
          <w:trHeight w:val="611"/>
          <w:jc w:val="center"/>
        </w:trPr>
        <w:tc>
          <w:tcPr>
            <w:tcW w:w="1521" w:type="dxa"/>
          </w:tcPr>
          <w:p w:rsidR="00002063" w:rsidRPr="00002063" w:rsidRDefault="00002063" w:rsidP="00002063">
            <w:pPr>
              <w:jc w:val="center"/>
              <w:rPr>
                <w:rFonts w:cs="Calibri"/>
                <w:b/>
              </w:rPr>
            </w:pPr>
            <w:r w:rsidRPr="00002063">
              <w:rPr>
                <w:rFonts w:cs="Calibri"/>
                <w:b/>
              </w:rPr>
              <w:t>Pedido</w:t>
            </w:r>
            <w:r>
              <w:rPr>
                <w:rFonts w:cs="Calibri"/>
                <w:b/>
              </w:rPr>
              <w:t>/Orden de Servicio</w:t>
            </w:r>
          </w:p>
        </w:tc>
        <w:tc>
          <w:tcPr>
            <w:tcW w:w="4639" w:type="dxa"/>
          </w:tcPr>
          <w:p w:rsidR="00002063" w:rsidRPr="00002063" w:rsidRDefault="00002063" w:rsidP="00002063">
            <w:pPr>
              <w:jc w:val="center"/>
              <w:rPr>
                <w:rFonts w:cs="Calibri"/>
                <w:b/>
              </w:rPr>
            </w:pPr>
            <w:r w:rsidRPr="00002063">
              <w:rPr>
                <w:rFonts w:cs="Calibri"/>
                <w:b/>
              </w:rPr>
              <w:t>Proveedor</w:t>
            </w:r>
          </w:p>
        </w:tc>
        <w:tc>
          <w:tcPr>
            <w:tcW w:w="2894" w:type="dxa"/>
          </w:tcPr>
          <w:p w:rsidR="00002063" w:rsidRPr="00002063" w:rsidRDefault="00002063" w:rsidP="00002063">
            <w:pPr>
              <w:jc w:val="center"/>
              <w:rPr>
                <w:rFonts w:cs="Calibri"/>
                <w:b/>
              </w:rPr>
            </w:pPr>
            <w:r w:rsidRPr="00002063">
              <w:rPr>
                <w:rFonts w:cs="Calibri"/>
                <w:b/>
              </w:rPr>
              <w:t>Importe</w:t>
            </w:r>
          </w:p>
        </w:tc>
      </w:tr>
      <w:tr w:rsidR="00002063" w:rsidTr="00002063">
        <w:trPr>
          <w:trHeight w:val="426"/>
          <w:jc w:val="center"/>
        </w:trPr>
        <w:tc>
          <w:tcPr>
            <w:tcW w:w="1521" w:type="dxa"/>
          </w:tcPr>
          <w:p w:rsidR="00002063" w:rsidRDefault="00002063" w:rsidP="00002063">
            <w:pPr>
              <w:jc w:val="center"/>
              <w:rPr>
                <w:rFonts w:cs="Calibri"/>
              </w:rPr>
            </w:pPr>
            <w:r>
              <w:rPr>
                <w:rFonts w:cs="Calibri"/>
              </w:rPr>
              <w:t>P-2107</w:t>
            </w:r>
          </w:p>
        </w:tc>
        <w:tc>
          <w:tcPr>
            <w:tcW w:w="4639" w:type="dxa"/>
          </w:tcPr>
          <w:p w:rsidR="00002063" w:rsidRDefault="00002063" w:rsidP="00590483">
            <w:pPr>
              <w:jc w:val="both"/>
              <w:rPr>
                <w:rFonts w:cs="Calibri"/>
              </w:rPr>
            </w:pPr>
            <w:proofErr w:type="spellStart"/>
            <w:r>
              <w:rPr>
                <w:rFonts w:cs="Calibri"/>
              </w:rPr>
              <w:t>Gotec</w:t>
            </w:r>
            <w:proofErr w:type="spellEnd"/>
            <w:r>
              <w:rPr>
                <w:rFonts w:cs="Calibri"/>
              </w:rPr>
              <w:t xml:space="preserve"> del Bajío, S. de R.L. de C. V.</w:t>
            </w:r>
          </w:p>
        </w:tc>
        <w:tc>
          <w:tcPr>
            <w:tcW w:w="2894" w:type="dxa"/>
          </w:tcPr>
          <w:p w:rsidR="00002063" w:rsidRDefault="00002063" w:rsidP="00002063">
            <w:pPr>
              <w:jc w:val="center"/>
              <w:rPr>
                <w:rFonts w:cs="Calibri"/>
              </w:rPr>
            </w:pPr>
            <w:r>
              <w:rPr>
                <w:rFonts w:cs="Calibri"/>
              </w:rPr>
              <w:t>$ 1,290,000.00 + IVA</w:t>
            </w:r>
          </w:p>
        </w:tc>
      </w:tr>
      <w:tr w:rsidR="00002063" w:rsidTr="00002063">
        <w:trPr>
          <w:trHeight w:val="426"/>
          <w:jc w:val="center"/>
        </w:trPr>
        <w:tc>
          <w:tcPr>
            <w:tcW w:w="1521" w:type="dxa"/>
          </w:tcPr>
          <w:p w:rsidR="00002063" w:rsidRDefault="00002063" w:rsidP="00002063">
            <w:pPr>
              <w:jc w:val="center"/>
              <w:rPr>
                <w:rFonts w:cs="Calibri"/>
              </w:rPr>
            </w:pPr>
            <w:r>
              <w:rPr>
                <w:rFonts w:cs="Calibri"/>
              </w:rPr>
              <w:t>OS-1787</w:t>
            </w:r>
          </w:p>
        </w:tc>
        <w:tc>
          <w:tcPr>
            <w:tcW w:w="4639" w:type="dxa"/>
          </w:tcPr>
          <w:p w:rsidR="00002063" w:rsidRDefault="00002063" w:rsidP="00002063">
            <w:pPr>
              <w:jc w:val="both"/>
              <w:rPr>
                <w:rFonts w:cs="Calibri"/>
              </w:rPr>
            </w:pPr>
            <w:proofErr w:type="spellStart"/>
            <w:r>
              <w:rPr>
                <w:rFonts w:cs="Calibri"/>
              </w:rPr>
              <w:t>Gotec</w:t>
            </w:r>
            <w:proofErr w:type="spellEnd"/>
            <w:r>
              <w:rPr>
                <w:rFonts w:cs="Calibri"/>
              </w:rPr>
              <w:t xml:space="preserve"> del Bajío, S. de R.L. de C. V.</w:t>
            </w:r>
          </w:p>
        </w:tc>
        <w:tc>
          <w:tcPr>
            <w:tcW w:w="2894" w:type="dxa"/>
          </w:tcPr>
          <w:p w:rsidR="00002063" w:rsidRDefault="00002063" w:rsidP="00002063">
            <w:pPr>
              <w:jc w:val="center"/>
              <w:rPr>
                <w:rFonts w:cs="Calibri"/>
              </w:rPr>
            </w:pPr>
            <w:r>
              <w:rPr>
                <w:rFonts w:cs="Calibri"/>
              </w:rPr>
              <w:t>$ 303,000.00 + IVA</w:t>
            </w:r>
          </w:p>
        </w:tc>
      </w:tr>
    </w:tbl>
    <w:p w:rsidR="00663AAC" w:rsidRDefault="00663AAC" w:rsidP="00590483">
      <w:pPr>
        <w:jc w:val="both"/>
        <w:rPr>
          <w:rFonts w:cs="Calibri"/>
        </w:rPr>
      </w:pPr>
      <w:r>
        <w:rPr>
          <w:rFonts w:cs="Calibri"/>
        </w:rPr>
        <w:t xml:space="preserve"> </w:t>
      </w:r>
    </w:p>
    <w:p w:rsidR="00002063" w:rsidRDefault="00663AAC" w:rsidP="00002063">
      <w:pPr>
        <w:jc w:val="both"/>
        <w:rPr>
          <w:rFonts w:cs="Calibri"/>
        </w:rPr>
      </w:pPr>
      <w:r>
        <w:rPr>
          <w:rFonts w:cs="Calibri"/>
        </w:rPr>
        <w:t>Igualmente la Gerencia de Compras Adjudicó la</w:t>
      </w:r>
      <w:r w:rsidR="00D856DF">
        <w:rPr>
          <w:rFonts w:cs="Calibri"/>
        </w:rPr>
        <w:t xml:space="preserve"> compra</w:t>
      </w:r>
      <w:r w:rsidR="00590483">
        <w:rPr>
          <w:rFonts w:cs="Calibri"/>
        </w:rPr>
        <w:t xml:space="preserve"> de </w:t>
      </w:r>
      <w:r>
        <w:rPr>
          <w:rFonts w:cs="Calibri"/>
        </w:rPr>
        <w:t xml:space="preserve">Bienes </w:t>
      </w:r>
      <w:r w:rsidR="00590483">
        <w:rPr>
          <w:rFonts w:cs="Calibri"/>
        </w:rPr>
        <w:t xml:space="preserve">Muebles para la Dirección General, </w:t>
      </w:r>
      <w:r w:rsidR="00002063">
        <w:rPr>
          <w:rFonts w:cs="Calibri"/>
        </w:rPr>
        <w:t>mismos que quedaron contratados como sigue</w:t>
      </w:r>
      <w:r w:rsidR="00002063" w:rsidRPr="00002063">
        <w:rPr>
          <w:rFonts w:cs="Calibri"/>
        </w:rPr>
        <w:t xml:space="preserve"> </w:t>
      </w:r>
      <w:r w:rsidR="00002063">
        <w:rPr>
          <w:rFonts w:cs="Calibri"/>
        </w:rPr>
        <w:t>y que corresponden al año Fiscal 2017:</w:t>
      </w:r>
    </w:p>
    <w:tbl>
      <w:tblPr>
        <w:tblStyle w:val="Tablaconcuadrcula"/>
        <w:tblW w:w="0" w:type="auto"/>
        <w:jc w:val="center"/>
        <w:tblLook w:val="04A0" w:firstRow="1" w:lastRow="0" w:firstColumn="1" w:lastColumn="0" w:noHBand="0" w:noVBand="1"/>
      </w:tblPr>
      <w:tblGrid>
        <w:gridCol w:w="1110"/>
        <w:gridCol w:w="4925"/>
        <w:gridCol w:w="3018"/>
      </w:tblGrid>
      <w:tr w:rsidR="00002063" w:rsidRPr="00002063" w:rsidTr="00002063">
        <w:trPr>
          <w:trHeight w:val="416"/>
          <w:jc w:val="center"/>
        </w:trPr>
        <w:tc>
          <w:tcPr>
            <w:tcW w:w="1110" w:type="dxa"/>
          </w:tcPr>
          <w:p w:rsidR="00002063" w:rsidRPr="00002063" w:rsidRDefault="00002063" w:rsidP="00002063">
            <w:pPr>
              <w:jc w:val="center"/>
              <w:rPr>
                <w:rFonts w:cs="Calibri"/>
                <w:b/>
              </w:rPr>
            </w:pPr>
            <w:r w:rsidRPr="00002063">
              <w:rPr>
                <w:rFonts w:cs="Calibri"/>
                <w:b/>
              </w:rPr>
              <w:t>Pedido</w:t>
            </w:r>
          </w:p>
        </w:tc>
        <w:tc>
          <w:tcPr>
            <w:tcW w:w="4925" w:type="dxa"/>
          </w:tcPr>
          <w:p w:rsidR="00002063" w:rsidRPr="00002063" w:rsidRDefault="00002063" w:rsidP="00002063">
            <w:pPr>
              <w:jc w:val="center"/>
              <w:rPr>
                <w:rFonts w:cs="Calibri"/>
                <w:b/>
              </w:rPr>
            </w:pPr>
            <w:r w:rsidRPr="00002063">
              <w:rPr>
                <w:rFonts w:cs="Calibri"/>
                <w:b/>
              </w:rPr>
              <w:t>Proveedor</w:t>
            </w:r>
          </w:p>
        </w:tc>
        <w:tc>
          <w:tcPr>
            <w:tcW w:w="3018" w:type="dxa"/>
          </w:tcPr>
          <w:p w:rsidR="00002063" w:rsidRPr="00002063" w:rsidRDefault="00002063" w:rsidP="00002063">
            <w:pPr>
              <w:jc w:val="center"/>
              <w:rPr>
                <w:rFonts w:cs="Calibri"/>
                <w:b/>
              </w:rPr>
            </w:pPr>
            <w:r w:rsidRPr="00002063">
              <w:rPr>
                <w:rFonts w:cs="Calibri"/>
                <w:b/>
              </w:rPr>
              <w:t>Importe</w:t>
            </w:r>
          </w:p>
        </w:tc>
      </w:tr>
      <w:tr w:rsidR="00002063" w:rsidTr="00002063">
        <w:trPr>
          <w:trHeight w:val="426"/>
          <w:jc w:val="center"/>
        </w:trPr>
        <w:tc>
          <w:tcPr>
            <w:tcW w:w="1110" w:type="dxa"/>
          </w:tcPr>
          <w:p w:rsidR="00002063" w:rsidRDefault="00002063" w:rsidP="00002063">
            <w:pPr>
              <w:jc w:val="center"/>
              <w:rPr>
                <w:rFonts w:cs="Calibri"/>
              </w:rPr>
            </w:pPr>
            <w:r>
              <w:rPr>
                <w:rFonts w:cs="Calibri"/>
              </w:rPr>
              <w:t>P-2105</w:t>
            </w:r>
          </w:p>
        </w:tc>
        <w:tc>
          <w:tcPr>
            <w:tcW w:w="4925" w:type="dxa"/>
          </w:tcPr>
          <w:p w:rsidR="00002063" w:rsidRDefault="00002063" w:rsidP="00002063">
            <w:pPr>
              <w:jc w:val="both"/>
              <w:rPr>
                <w:rFonts w:cs="Calibri"/>
              </w:rPr>
            </w:pPr>
            <w:r>
              <w:rPr>
                <w:rFonts w:cs="Calibri"/>
              </w:rPr>
              <w:t>Equipos Comerciales de Celaya, S. A. de C. V.</w:t>
            </w:r>
          </w:p>
        </w:tc>
        <w:tc>
          <w:tcPr>
            <w:tcW w:w="3018" w:type="dxa"/>
          </w:tcPr>
          <w:p w:rsidR="00002063" w:rsidRDefault="00002063" w:rsidP="00002063">
            <w:pPr>
              <w:jc w:val="center"/>
              <w:rPr>
                <w:rFonts w:cs="Calibri"/>
              </w:rPr>
            </w:pPr>
            <w:r>
              <w:rPr>
                <w:rFonts w:cs="Calibri"/>
              </w:rPr>
              <w:t>$ 48,600.00 + IVA</w:t>
            </w:r>
          </w:p>
        </w:tc>
      </w:tr>
      <w:tr w:rsidR="00002063" w:rsidTr="00002063">
        <w:trPr>
          <w:trHeight w:val="426"/>
          <w:jc w:val="center"/>
        </w:trPr>
        <w:tc>
          <w:tcPr>
            <w:tcW w:w="1110" w:type="dxa"/>
          </w:tcPr>
          <w:p w:rsidR="00002063" w:rsidRDefault="00002063" w:rsidP="00002063">
            <w:pPr>
              <w:jc w:val="center"/>
              <w:rPr>
                <w:rFonts w:cs="Calibri"/>
              </w:rPr>
            </w:pPr>
            <w:r>
              <w:rPr>
                <w:rFonts w:cs="Calibri"/>
              </w:rPr>
              <w:t>P-2106</w:t>
            </w:r>
          </w:p>
        </w:tc>
        <w:tc>
          <w:tcPr>
            <w:tcW w:w="4925" w:type="dxa"/>
          </w:tcPr>
          <w:p w:rsidR="00002063" w:rsidRDefault="00002063" w:rsidP="00002063">
            <w:pPr>
              <w:jc w:val="both"/>
              <w:rPr>
                <w:rFonts w:cs="Calibri"/>
              </w:rPr>
            </w:pPr>
            <w:proofErr w:type="spellStart"/>
            <w:r>
              <w:rPr>
                <w:rFonts w:cs="Calibri"/>
              </w:rPr>
              <w:t>Silieri</w:t>
            </w:r>
            <w:proofErr w:type="spellEnd"/>
            <w:r>
              <w:rPr>
                <w:rFonts w:cs="Calibri"/>
              </w:rPr>
              <w:t xml:space="preserve"> S. A. de C. V.</w:t>
            </w:r>
          </w:p>
        </w:tc>
        <w:tc>
          <w:tcPr>
            <w:tcW w:w="3018" w:type="dxa"/>
          </w:tcPr>
          <w:p w:rsidR="00002063" w:rsidRDefault="00002063" w:rsidP="00002063">
            <w:pPr>
              <w:jc w:val="center"/>
              <w:rPr>
                <w:rFonts w:cs="Calibri"/>
              </w:rPr>
            </w:pPr>
            <w:r>
              <w:rPr>
                <w:rFonts w:cs="Calibri"/>
              </w:rPr>
              <w:t>$ 129,208.77 + IVA</w:t>
            </w:r>
          </w:p>
        </w:tc>
      </w:tr>
    </w:tbl>
    <w:p w:rsidR="00002063" w:rsidRDefault="00002063" w:rsidP="00590483">
      <w:pPr>
        <w:jc w:val="both"/>
        <w:rPr>
          <w:rFonts w:cs="Calibri"/>
        </w:rPr>
      </w:pPr>
    </w:p>
    <w:p w:rsidR="000D18E0" w:rsidRDefault="000D18E0" w:rsidP="00590483">
      <w:pPr>
        <w:jc w:val="both"/>
        <w:rPr>
          <w:rFonts w:cs="Calibri"/>
        </w:rPr>
      </w:pPr>
      <w:r>
        <w:rPr>
          <w:rFonts w:cs="Calibri"/>
        </w:rPr>
        <w:t>De la</w:t>
      </w:r>
      <w:r w:rsidR="00393A61">
        <w:rPr>
          <w:rFonts w:cs="Calibri"/>
        </w:rPr>
        <w:t>s 4</w:t>
      </w:r>
      <w:r w:rsidR="00663AAC">
        <w:rPr>
          <w:rFonts w:cs="Calibri"/>
        </w:rPr>
        <w:t xml:space="preserve"> </w:t>
      </w:r>
      <w:r>
        <w:rPr>
          <w:rFonts w:cs="Calibri"/>
        </w:rPr>
        <w:t xml:space="preserve">contrataciones </w:t>
      </w:r>
      <w:r w:rsidR="00663AAC">
        <w:rPr>
          <w:rFonts w:cs="Calibri"/>
        </w:rPr>
        <w:t>anteriormente señalados</w:t>
      </w:r>
      <w:r>
        <w:rPr>
          <w:rFonts w:cs="Calibri"/>
        </w:rPr>
        <w:t>,</w:t>
      </w:r>
      <w:r w:rsidR="00663AAC">
        <w:rPr>
          <w:rFonts w:cs="Calibri"/>
        </w:rPr>
        <w:t xml:space="preserve"> </w:t>
      </w:r>
      <w:r>
        <w:rPr>
          <w:rFonts w:cs="Calibri"/>
        </w:rPr>
        <w:t>a</w:t>
      </w:r>
      <w:r w:rsidR="00590483">
        <w:rPr>
          <w:rFonts w:cs="Calibri"/>
        </w:rPr>
        <w:t xml:space="preserve">l momento del cierre del 4to Trimestre 2017 no quedaron incluidos </w:t>
      </w:r>
      <w:r w:rsidR="00D856DF">
        <w:rPr>
          <w:rFonts w:cs="Calibri"/>
        </w:rPr>
        <w:t>en los Momentos P</w:t>
      </w:r>
      <w:r w:rsidR="0060066F">
        <w:rPr>
          <w:rFonts w:cs="Calibri"/>
        </w:rPr>
        <w:t>resupuestal</w:t>
      </w:r>
      <w:r>
        <w:rPr>
          <w:rFonts w:cs="Calibri"/>
        </w:rPr>
        <w:t>es y las Provisiones Contables.</w:t>
      </w:r>
    </w:p>
    <w:p w:rsidR="00B70963" w:rsidRDefault="00D856DF" w:rsidP="00590483">
      <w:pPr>
        <w:jc w:val="both"/>
        <w:rPr>
          <w:rFonts w:cs="Calibri"/>
        </w:rPr>
      </w:pPr>
      <w:r>
        <w:rPr>
          <w:rFonts w:cs="Calibri"/>
        </w:rPr>
        <w:t>Por lo cual el área de Compras solicita que sean incluidos</w:t>
      </w:r>
      <w:r w:rsidR="000D18E0">
        <w:rPr>
          <w:rFonts w:cs="Calibri"/>
        </w:rPr>
        <w:t>,</w:t>
      </w:r>
      <w:r>
        <w:rPr>
          <w:rFonts w:cs="Calibri"/>
        </w:rPr>
        <w:t xml:space="preserve"> </w:t>
      </w:r>
      <w:r w:rsidR="00590483">
        <w:rPr>
          <w:rFonts w:cs="Calibri"/>
        </w:rPr>
        <w:t>a fin de dar</w:t>
      </w:r>
      <w:r w:rsidR="00B70963">
        <w:rPr>
          <w:rFonts w:cs="Calibri"/>
        </w:rPr>
        <w:t xml:space="preserve"> cumplimiento </w:t>
      </w:r>
      <w:r w:rsidR="000D18E0">
        <w:rPr>
          <w:rFonts w:cs="Calibri"/>
        </w:rPr>
        <w:t xml:space="preserve">al acuerdo </w:t>
      </w:r>
      <w:r w:rsidR="00B70963">
        <w:rPr>
          <w:rFonts w:cs="Calibri"/>
        </w:rPr>
        <w:t xml:space="preserve"> </w:t>
      </w:r>
      <w:r w:rsidR="000D18E0">
        <w:rPr>
          <w:rFonts w:cs="Calibri"/>
        </w:rPr>
        <w:t xml:space="preserve">del Acta 20/2017 Vigésima Sesión Ordinaria del 2017 </w:t>
      </w:r>
      <w:r w:rsidR="00B70963">
        <w:rPr>
          <w:rFonts w:cs="Calibri"/>
        </w:rPr>
        <w:t xml:space="preserve">del </w:t>
      </w:r>
      <w:r w:rsidR="000D18E0">
        <w:rPr>
          <w:rFonts w:cs="Calibri"/>
        </w:rPr>
        <w:t xml:space="preserve">Comité de Adquisiciones y Obra Pública de la Junta Municipal de Agua Potable y Alcantarillado de Celaya, </w:t>
      </w:r>
      <w:proofErr w:type="spellStart"/>
      <w:r w:rsidR="000D18E0">
        <w:rPr>
          <w:rFonts w:cs="Calibri"/>
        </w:rPr>
        <w:t>Gto</w:t>
      </w:r>
      <w:proofErr w:type="spellEnd"/>
      <w:r w:rsidR="000D18E0">
        <w:rPr>
          <w:rFonts w:cs="Calibri"/>
        </w:rPr>
        <w:t>.</w:t>
      </w:r>
      <w:r w:rsidR="00B70963">
        <w:rPr>
          <w:rFonts w:cs="Calibri"/>
        </w:rPr>
        <w:t xml:space="preserve">, así como la contratación </w:t>
      </w:r>
      <w:r w:rsidR="000D18E0">
        <w:rPr>
          <w:rFonts w:cs="Calibri"/>
        </w:rPr>
        <w:t>realizada por la compra de los Bienes M</w:t>
      </w:r>
      <w:r w:rsidR="00B70963">
        <w:rPr>
          <w:rFonts w:cs="Calibri"/>
        </w:rPr>
        <w:t>uebles.</w:t>
      </w:r>
    </w:p>
    <w:p w:rsidR="00590483" w:rsidRPr="00E74967" w:rsidRDefault="00B70963" w:rsidP="00590483">
      <w:pPr>
        <w:jc w:val="both"/>
        <w:rPr>
          <w:rFonts w:cs="Calibri"/>
        </w:rPr>
      </w:pPr>
      <w:r>
        <w:rPr>
          <w:rFonts w:cs="Calibri"/>
        </w:rPr>
        <w:t>Se realizaron</w:t>
      </w:r>
      <w:r w:rsidR="00590483">
        <w:rPr>
          <w:rFonts w:cs="Calibri"/>
        </w:rPr>
        <w:t xml:space="preserve"> los movimientos </w:t>
      </w:r>
      <w:r w:rsidR="00051464">
        <w:rPr>
          <w:rFonts w:cs="Calibri"/>
        </w:rPr>
        <w:t>de los momentos presupuesta</w:t>
      </w:r>
      <w:r w:rsidR="00590483">
        <w:rPr>
          <w:rFonts w:cs="Calibri"/>
        </w:rPr>
        <w:t>les y regi</w:t>
      </w:r>
      <w:r w:rsidR="000D18E0">
        <w:rPr>
          <w:rFonts w:cs="Calibri"/>
        </w:rPr>
        <w:t xml:space="preserve">stros contables </w:t>
      </w:r>
      <w:r w:rsidR="00051464">
        <w:rPr>
          <w:rFonts w:cs="Calibri"/>
        </w:rPr>
        <w:t xml:space="preserve">de los Pedidos y Orden de Servicio </w:t>
      </w:r>
      <w:r w:rsidR="000D18E0">
        <w:rPr>
          <w:rFonts w:cs="Calibri"/>
        </w:rPr>
        <w:t>mencionados, y quedado reflejado</w:t>
      </w:r>
      <w:r w:rsidR="00590483">
        <w:rPr>
          <w:rFonts w:cs="Calibri"/>
        </w:rPr>
        <w:t xml:space="preserve"> en el cierre de la Cuenta Pública del Ejercicio Fiscal 2017, teniendo el respaldo</w:t>
      </w:r>
      <w:r w:rsidR="0060066F">
        <w:rPr>
          <w:rFonts w:cs="Calibri"/>
        </w:rPr>
        <w:t xml:space="preserve"> y autorizaciones correspondientes a dichas </w:t>
      </w:r>
      <w:r w:rsidR="0060066F">
        <w:rPr>
          <w:rFonts w:cs="Calibri"/>
        </w:rPr>
        <w:lastRenderedPageBreak/>
        <w:t>modificaciones, los cuales obran en las Instalaciones de este Organismo Operador para cualquier c</w:t>
      </w:r>
      <w:r w:rsidR="00051464">
        <w:rPr>
          <w:rFonts w:cs="Calibri"/>
        </w:rPr>
        <w:t>onsulta o aclaración al respecto.</w:t>
      </w:r>
    </w:p>
    <w:p w:rsidR="003F4302" w:rsidRPr="00E74967" w:rsidRDefault="000D18E0" w:rsidP="003F4302">
      <w:pPr>
        <w:rPr>
          <w:rFonts w:cs="Calibri"/>
        </w:rPr>
      </w:pPr>
      <w:r>
        <w:rPr>
          <w:rFonts w:cs="Calibri"/>
        </w:rPr>
        <w:t xml:space="preserve">Es por tal motivo que los saldos de la Información Financiera correspondiente al 4to Trimestre del 2017 y los saldos de la Cuenta Pública del Año Fiscal 2017 no </w:t>
      </w:r>
      <w:r w:rsidR="00051464">
        <w:rPr>
          <w:rFonts w:cs="Calibri"/>
        </w:rPr>
        <w:t>concuerdan</w:t>
      </w:r>
      <w:r>
        <w:rPr>
          <w:rFonts w:cs="Calibri"/>
        </w:rPr>
        <w:t>.</w:t>
      </w:r>
    </w:p>
    <w:p w:rsidR="003F4302" w:rsidRPr="00E74967" w:rsidRDefault="003F4302" w:rsidP="003F4302">
      <w:pPr>
        <w:rPr>
          <w:rFonts w:cs="Calibri"/>
          <w:b/>
        </w:rPr>
      </w:pPr>
      <w:r w:rsidRPr="00E74967">
        <w:rPr>
          <w:rFonts w:cs="Calibri"/>
          <w:b/>
        </w:rPr>
        <w:t>16. Partes Relacionadas:</w:t>
      </w:r>
    </w:p>
    <w:p w:rsidR="003F4302" w:rsidRPr="00E74967" w:rsidRDefault="003F4302" w:rsidP="003F4302">
      <w:pPr>
        <w:rPr>
          <w:rFonts w:cs="Calibri"/>
        </w:rPr>
      </w:pPr>
    </w:p>
    <w:p w:rsidR="003F4302" w:rsidRPr="00E74967" w:rsidRDefault="003F4302" w:rsidP="003F4302">
      <w:pPr>
        <w:rPr>
          <w:rFonts w:cs="Calibri"/>
        </w:rPr>
      </w:pPr>
      <w:r w:rsidRPr="00E74967">
        <w:rPr>
          <w:rFonts w:cs="Calibri"/>
        </w:rPr>
        <w:t>Se debe establecer por escrito que no existen partes relacionadas que pudieran ejercer influencia significativa sobre la toma de decisiones financieras y operativas:</w:t>
      </w:r>
    </w:p>
    <w:p w:rsidR="003F4302" w:rsidRDefault="003F4302" w:rsidP="003F4302">
      <w:pPr>
        <w:rPr>
          <w:rFonts w:ascii="Arial" w:hAnsi="Arial" w:cs="Arial"/>
          <w:sz w:val="20"/>
          <w:szCs w:val="20"/>
          <w:u w:val="single"/>
        </w:rPr>
      </w:pPr>
    </w:p>
    <w:p w:rsidR="003F4302" w:rsidRDefault="003F4302" w:rsidP="003F4302">
      <w:pPr>
        <w:rPr>
          <w:rFonts w:ascii="Arial" w:hAnsi="Arial" w:cs="Arial"/>
          <w:sz w:val="20"/>
          <w:szCs w:val="20"/>
          <w:u w:val="single"/>
        </w:rPr>
      </w:pPr>
      <w:r w:rsidRPr="00712529">
        <w:rPr>
          <w:rFonts w:ascii="Arial" w:hAnsi="Arial" w:cs="Arial"/>
          <w:sz w:val="20"/>
          <w:szCs w:val="20"/>
          <w:u w:val="single"/>
        </w:rPr>
        <w:t>No me aplica.</w:t>
      </w:r>
      <w:r w:rsidRPr="00712529">
        <w:rPr>
          <w:rFonts w:ascii="Arial" w:hAnsi="Arial" w:cs="Arial"/>
          <w:sz w:val="20"/>
          <w:szCs w:val="20"/>
          <w:u w:val="single"/>
        </w:rPr>
        <w:tab/>
      </w:r>
      <w:r w:rsidRPr="00712529">
        <w:rPr>
          <w:rFonts w:ascii="Arial" w:hAnsi="Arial" w:cs="Arial"/>
          <w:sz w:val="20"/>
          <w:szCs w:val="20"/>
          <w:u w:val="single"/>
        </w:rPr>
        <w:tab/>
      </w:r>
      <w:r w:rsidRPr="00712529">
        <w:rPr>
          <w:rFonts w:ascii="Arial" w:hAnsi="Arial" w:cs="Arial"/>
          <w:sz w:val="20"/>
          <w:szCs w:val="20"/>
          <w:u w:val="single"/>
        </w:rPr>
        <w:tab/>
      </w:r>
    </w:p>
    <w:p w:rsidR="003F4302" w:rsidRPr="00E74967" w:rsidRDefault="003F4302" w:rsidP="003F4302">
      <w:pPr>
        <w:rPr>
          <w:rFonts w:cs="Calibri"/>
        </w:rPr>
      </w:pPr>
    </w:p>
    <w:p w:rsidR="003F4302" w:rsidRPr="00E74967" w:rsidRDefault="003F4302" w:rsidP="003F4302">
      <w:pPr>
        <w:rPr>
          <w:rFonts w:cs="Calibri"/>
        </w:rPr>
      </w:pPr>
    </w:p>
    <w:p w:rsidR="003F4302" w:rsidRPr="00E74967" w:rsidRDefault="003F4302" w:rsidP="003F4302">
      <w:pPr>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3F4302" w:rsidRPr="00E74967" w:rsidRDefault="003F4302" w:rsidP="003F4302">
      <w:pPr>
        <w:rPr>
          <w:rFonts w:cs="Calibri"/>
        </w:rPr>
      </w:pPr>
    </w:p>
    <w:p w:rsidR="003F4302" w:rsidRPr="00E74967" w:rsidRDefault="003F4302" w:rsidP="003F4302">
      <w:pPr>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3F4302" w:rsidRPr="00E74967" w:rsidRDefault="003F4302" w:rsidP="003F4302">
      <w:pPr>
        <w:pBdr>
          <w:bottom w:val="single" w:sz="12" w:space="1" w:color="auto"/>
        </w:pBdr>
        <w:rPr>
          <w:rFonts w:cs="Calibri"/>
        </w:rPr>
      </w:pPr>
    </w:p>
    <w:p w:rsidR="003F4302" w:rsidRPr="00E74967" w:rsidRDefault="003F4302" w:rsidP="003F4302">
      <w:pPr>
        <w:rPr>
          <w:rFonts w:cs="Calibri"/>
        </w:rPr>
      </w:pPr>
    </w:p>
    <w:p w:rsidR="003F4302" w:rsidRPr="00E74967" w:rsidRDefault="003F4302" w:rsidP="003F4302">
      <w:pPr>
        <w:rPr>
          <w:rFonts w:cs="Calibri"/>
          <w:b/>
        </w:rPr>
      </w:pPr>
      <w:r w:rsidRPr="00E74967">
        <w:rPr>
          <w:rFonts w:cs="Calibri"/>
          <w:b/>
        </w:rPr>
        <w:t>Recomendaciones</w:t>
      </w:r>
    </w:p>
    <w:p w:rsidR="007D38B2" w:rsidRPr="003F4302" w:rsidRDefault="003F4302" w:rsidP="003F4302">
      <w:pPr>
        <w:rPr>
          <w:szCs w:val="10"/>
        </w:rPr>
      </w:pPr>
      <w:r w:rsidRPr="00E74967">
        <w:rPr>
          <w:rFonts w:cs="Calibri"/>
          <w:b/>
        </w:rPr>
        <w:t>Nota 1: Las notas de Gestión Administrativa sólo se presentarán en medio digital, las notas que no estén contempladas en el formato se agregarán libremente al mismo.</w:t>
      </w:r>
    </w:p>
    <w:sectPr w:rsidR="007D38B2" w:rsidRPr="003F4302" w:rsidSect="00F50E7A">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063" w:rsidRDefault="00002063" w:rsidP="0011076A">
      <w:pPr>
        <w:spacing w:after="0" w:line="240" w:lineRule="auto"/>
      </w:pPr>
      <w:r>
        <w:separator/>
      </w:r>
    </w:p>
  </w:endnote>
  <w:endnote w:type="continuationSeparator" w:id="0">
    <w:p w:rsidR="00002063" w:rsidRDefault="00002063" w:rsidP="0011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063" w:rsidRDefault="000020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063" w:rsidRDefault="0000206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063" w:rsidRDefault="000020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063" w:rsidRDefault="00002063" w:rsidP="0011076A">
      <w:pPr>
        <w:spacing w:after="0" w:line="240" w:lineRule="auto"/>
      </w:pPr>
      <w:r>
        <w:separator/>
      </w:r>
    </w:p>
  </w:footnote>
  <w:footnote w:type="continuationSeparator" w:id="0">
    <w:p w:rsidR="00002063" w:rsidRDefault="00002063" w:rsidP="00110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063" w:rsidRDefault="000020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063" w:rsidRDefault="00002063">
    <w:pPr>
      <w:pStyle w:val="Encabezado"/>
    </w:pPr>
    <w:r>
      <w:rPr>
        <w:noProof/>
        <w:lang w:eastAsia="es-MX"/>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-294363</wp:posOffset>
          </wp:positionV>
          <wp:extent cx="7764145" cy="9754951"/>
          <wp:effectExtent l="19050" t="0" r="8255" b="0"/>
          <wp:wrapNone/>
          <wp:docPr id="1" name="0 Imagen" descr="hoja 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ja mem.jpg"/>
                  <pic:cNvPicPr>
                    <a:picLocks noChangeAspect="1" noChangeArrowheads="1"/>
                  </pic:cNvPicPr>
                </pic:nvPicPr>
                <pic:blipFill>
                  <a:blip r:embed="rId1"/>
                  <a:stretch>
                    <a:fillRect/>
                  </a:stretch>
                </pic:blipFill>
                <pic:spPr bwMode="auto">
                  <a:xfrm>
                    <a:off x="0" y="0"/>
                    <a:ext cx="7764145" cy="9754951"/>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063" w:rsidRDefault="000020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08C"/>
    <w:multiLevelType w:val="hybridMultilevel"/>
    <w:tmpl w:val="E37CAC2A"/>
    <w:lvl w:ilvl="0" w:tplc="080A0017">
      <w:start w:val="1"/>
      <w:numFmt w:val="lowerLetter"/>
      <w:lvlText w:val="%1)"/>
      <w:lvlJc w:val="left"/>
      <w:pPr>
        <w:ind w:left="2133" w:hanging="360"/>
      </w:pPr>
    </w:lvl>
    <w:lvl w:ilvl="1" w:tplc="080A0019" w:tentative="1">
      <w:start w:val="1"/>
      <w:numFmt w:val="lowerLetter"/>
      <w:lvlText w:val="%2."/>
      <w:lvlJc w:val="left"/>
      <w:pPr>
        <w:ind w:left="2853" w:hanging="360"/>
      </w:pPr>
    </w:lvl>
    <w:lvl w:ilvl="2" w:tplc="080A001B" w:tentative="1">
      <w:start w:val="1"/>
      <w:numFmt w:val="lowerRoman"/>
      <w:lvlText w:val="%3."/>
      <w:lvlJc w:val="right"/>
      <w:pPr>
        <w:ind w:left="3573" w:hanging="180"/>
      </w:pPr>
    </w:lvl>
    <w:lvl w:ilvl="3" w:tplc="080A000F" w:tentative="1">
      <w:start w:val="1"/>
      <w:numFmt w:val="decimal"/>
      <w:lvlText w:val="%4."/>
      <w:lvlJc w:val="left"/>
      <w:pPr>
        <w:ind w:left="4293" w:hanging="360"/>
      </w:pPr>
    </w:lvl>
    <w:lvl w:ilvl="4" w:tplc="080A0019" w:tentative="1">
      <w:start w:val="1"/>
      <w:numFmt w:val="lowerLetter"/>
      <w:lvlText w:val="%5."/>
      <w:lvlJc w:val="left"/>
      <w:pPr>
        <w:ind w:left="5013" w:hanging="360"/>
      </w:pPr>
    </w:lvl>
    <w:lvl w:ilvl="5" w:tplc="080A001B" w:tentative="1">
      <w:start w:val="1"/>
      <w:numFmt w:val="lowerRoman"/>
      <w:lvlText w:val="%6."/>
      <w:lvlJc w:val="right"/>
      <w:pPr>
        <w:ind w:left="5733" w:hanging="180"/>
      </w:pPr>
    </w:lvl>
    <w:lvl w:ilvl="6" w:tplc="080A000F" w:tentative="1">
      <w:start w:val="1"/>
      <w:numFmt w:val="decimal"/>
      <w:lvlText w:val="%7."/>
      <w:lvlJc w:val="left"/>
      <w:pPr>
        <w:ind w:left="6453" w:hanging="360"/>
      </w:pPr>
    </w:lvl>
    <w:lvl w:ilvl="7" w:tplc="080A0019" w:tentative="1">
      <w:start w:val="1"/>
      <w:numFmt w:val="lowerLetter"/>
      <w:lvlText w:val="%8."/>
      <w:lvlJc w:val="left"/>
      <w:pPr>
        <w:ind w:left="7173" w:hanging="360"/>
      </w:pPr>
    </w:lvl>
    <w:lvl w:ilvl="8" w:tplc="080A001B" w:tentative="1">
      <w:start w:val="1"/>
      <w:numFmt w:val="lowerRoman"/>
      <w:lvlText w:val="%9."/>
      <w:lvlJc w:val="right"/>
      <w:pPr>
        <w:ind w:left="7893" w:hanging="180"/>
      </w:pPr>
    </w:lvl>
  </w:abstractNum>
  <w:abstractNum w:abstractNumId="1" w15:restartNumberingAfterBreak="0">
    <w:nsid w:val="12E623CA"/>
    <w:multiLevelType w:val="hybridMultilevel"/>
    <w:tmpl w:val="82206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0F4135"/>
    <w:multiLevelType w:val="hybridMultilevel"/>
    <w:tmpl w:val="8B1C1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FA126D"/>
    <w:multiLevelType w:val="multilevel"/>
    <w:tmpl w:val="3348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C0BA6"/>
    <w:multiLevelType w:val="hybridMultilevel"/>
    <w:tmpl w:val="D43A4FDE"/>
    <w:lvl w:ilvl="0" w:tplc="5F68B254">
      <w:start w:val="6"/>
      <w:numFmt w:val="bullet"/>
      <w:lvlText w:val=""/>
      <w:lvlJc w:val="left"/>
      <w:pPr>
        <w:ind w:left="1065" w:hanging="360"/>
      </w:pPr>
      <w:rPr>
        <w:rFonts w:ascii="Symbol" w:eastAsia="Calibri" w:hAnsi="Symbol" w:cs="Tahoma"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5" w15:restartNumberingAfterBreak="0">
    <w:nsid w:val="21712DA9"/>
    <w:multiLevelType w:val="hybridMultilevel"/>
    <w:tmpl w:val="0DF4BD26"/>
    <w:lvl w:ilvl="0" w:tplc="9F7AB63E">
      <w:start w:val="2"/>
      <w:numFmt w:val="lowerLetter"/>
      <w:lvlText w:val="%1)"/>
      <w:lvlJc w:val="left"/>
      <w:pPr>
        <w:ind w:left="360" w:hanging="360"/>
      </w:pPr>
      <w:rPr>
        <w:rFonts w:hint="default"/>
        <w:color w:val="00B05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9DE5906"/>
    <w:multiLevelType w:val="hybridMultilevel"/>
    <w:tmpl w:val="00A29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C068A0"/>
    <w:multiLevelType w:val="hybridMultilevel"/>
    <w:tmpl w:val="415E4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1C61BE"/>
    <w:multiLevelType w:val="hybridMultilevel"/>
    <w:tmpl w:val="54CECD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1C42B1"/>
    <w:multiLevelType w:val="hybridMultilevel"/>
    <w:tmpl w:val="85D6C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6283E17"/>
    <w:multiLevelType w:val="hybridMultilevel"/>
    <w:tmpl w:val="5CA0C1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5B22F36"/>
    <w:multiLevelType w:val="hybridMultilevel"/>
    <w:tmpl w:val="7C9AC4F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5D15EEF"/>
    <w:multiLevelType w:val="hybridMultilevel"/>
    <w:tmpl w:val="B046DD48"/>
    <w:lvl w:ilvl="0" w:tplc="78D85CC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6731359"/>
    <w:multiLevelType w:val="hybridMultilevel"/>
    <w:tmpl w:val="ECAC2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B67C5C"/>
    <w:multiLevelType w:val="hybridMultilevel"/>
    <w:tmpl w:val="5FA25B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056672"/>
    <w:multiLevelType w:val="hybridMultilevel"/>
    <w:tmpl w:val="38F80906"/>
    <w:lvl w:ilvl="0" w:tplc="080A000B">
      <w:start w:val="1"/>
      <w:numFmt w:val="bullet"/>
      <w:lvlText w:val=""/>
      <w:lvlJc w:val="left"/>
      <w:pPr>
        <w:ind w:left="1065"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4E70B4"/>
    <w:multiLevelType w:val="hybridMultilevel"/>
    <w:tmpl w:val="E664496C"/>
    <w:lvl w:ilvl="0" w:tplc="0CC6520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EF37592"/>
    <w:multiLevelType w:val="hybridMultilevel"/>
    <w:tmpl w:val="EB14EEBA"/>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4"/>
  </w:num>
  <w:num w:numId="5">
    <w:abstractNumId w:val="16"/>
  </w:num>
  <w:num w:numId="6">
    <w:abstractNumId w:val="0"/>
  </w:num>
  <w:num w:numId="7">
    <w:abstractNumId w:val="15"/>
  </w:num>
  <w:num w:numId="8">
    <w:abstractNumId w:val="1"/>
  </w:num>
  <w:num w:numId="9">
    <w:abstractNumId w:val="14"/>
  </w:num>
  <w:num w:numId="10">
    <w:abstractNumId w:val="18"/>
  </w:num>
  <w:num w:numId="11">
    <w:abstractNumId w:val="11"/>
  </w:num>
  <w:num w:numId="12">
    <w:abstractNumId w:val="3"/>
  </w:num>
  <w:num w:numId="13">
    <w:abstractNumId w:val="6"/>
  </w:num>
  <w:num w:numId="14">
    <w:abstractNumId w:val="12"/>
  </w:num>
  <w:num w:numId="15">
    <w:abstractNumId w:val="5"/>
  </w:num>
  <w:num w:numId="16">
    <w:abstractNumId w:val="13"/>
  </w:num>
  <w:num w:numId="17">
    <w:abstractNumId w:val="2"/>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6A"/>
    <w:rsid w:val="00002063"/>
    <w:rsid w:val="00012B3A"/>
    <w:rsid w:val="00021D14"/>
    <w:rsid w:val="00051464"/>
    <w:rsid w:val="000730B5"/>
    <w:rsid w:val="00091B15"/>
    <w:rsid w:val="000970A7"/>
    <w:rsid w:val="000A0EC9"/>
    <w:rsid w:val="000C7DEF"/>
    <w:rsid w:val="000D18E0"/>
    <w:rsid w:val="0011076A"/>
    <w:rsid w:val="001665C6"/>
    <w:rsid w:val="001B0129"/>
    <w:rsid w:val="001D4800"/>
    <w:rsid w:val="001F1643"/>
    <w:rsid w:val="00203EFC"/>
    <w:rsid w:val="00212D19"/>
    <w:rsid w:val="0026020D"/>
    <w:rsid w:val="002B4382"/>
    <w:rsid w:val="002B4409"/>
    <w:rsid w:val="002C04BC"/>
    <w:rsid w:val="003146A2"/>
    <w:rsid w:val="00366D54"/>
    <w:rsid w:val="00393A61"/>
    <w:rsid w:val="003A0CC9"/>
    <w:rsid w:val="003A2448"/>
    <w:rsid w:val="003C5772"/>
    <w:rsid w:val="003D1131"/>
    <w:rsid w:val="003F4302"/>
    <w:rsid w:val="0040324B"/>
    <w:rsid w:val="004109CF"/>
    <w:rsid w:val="004317F7"/>
    <w:rsid w:val="0043665F"/>
    <w:rsid w:val="0044051D"/>
    <w:rsid w:val="00455D3A"/>
    <w:rsid w:val="00471515"/>
    <w:rsid w:val="0047633E"/>
    <w:rsid w:val="00480F23"/>
    <w:rsid w:val="00502304"/>
    <w:rsid w:val="00590483"/>
    <w:rsid w:val="005B7319"/>
    <w:rsid w:val="0060066F"/>
    <w:rsid w:val="00602F55"/>
    <w:rsid w:val="0061172C"/>
    <w:rsid w:val="006245E7"/>
    <w:rsid w:val="00645183"/>
    <w:rsid w:val="00661680"/>
    <w:rsid w:val="00663AAC"/>
    <w:rsid w:val="00737419"/>
    <w:rsid w:val="00742FE0"/>
    <w:rsid w:val="007456F8"/>
    <w:rsid w:val="007C016D"/>
    <w:rsid w:val="007D38B2"/>
    <w:rsid w:val="007E7AE9"/>
    <w:rsid w:val="00803614"/>
    <w:rsid w:val="00835268"/>
    <w:rsid w:val="00874E06"/>
    <w:rsid w:val="008C3D72"/>
    <w:rsid w:val="008D5889"/>
    <w:rsid w:val="008F7837"/>
    <w:rsid w:val="00930F41"/>
    <w:rsid w:val="0098788B"/>
    <w:rsid w:val="009B6063"/>
    <w:rsid w:val="009B6244"/>
    <w:rsid w:val="009E74E4"/>
    <w:rsid w:val="00A134F5"/>
    <w:rsid w:val="00A16E6B"/>
    <w:rsid w:val="00A72243"/>
    <w:rsid w:val="00AB1485"/>
    <w:rsid w:val="00AB4BEA"/>
    <w:rsid w:val="00AF46FE"/>
    <w:rsid w:val="00B61927"/>
    <w:rsid w:val="00B6531F"/>
    <w:rsid w:val="00B70963"/>
    <w:rsid w:val="00B74BDB"/>
    <w:rsid w:val="00C446F0"/>
    <w:rsid w:val="00C5516D"/>
    <w:rsid w:val="00C97CAA"/>
    <w:rsid w:val="00CB3393"/>
    <w:rsid w:val="00CC240E"/>
    <w:rsid w:val="00D37B4F"/>
    <w:rsid w:val="00D856DF"/>
    <w:rsid w:val="00DD0567"/>
    <w:rsid w:val="00DF0C4C"/>
    <w:rsid w:val="00E9253F"/>
    <w:rsid w:val="00EB218A"/>
    <w:rsid w:val="00F03621"/>
    <w:rsid w:val="00F50E7A"/>
    <w:rsid w:val="00F92223"/>
    <w:rsid w:val="00FD4358"/>
    <w:rsid w:val="00FF5C0F"/>
    <w:rsid w:val="00FF61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B31D81DD-BD04-40D5-9638-91CCCC24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E7A"/>
    <w:pPr>
      <w:spacing w:after="200" w:line="276" w:lineRule="auto"/>
    </w:pPr>
    <w:rPr>
      <w:sz w:val="22"/>
      <w:szCs w:val="22"/>
      <w:lang w:eastAsia="en-US"/>
    </w:rPr>
  </w:style>
  <w:style w:type="paragraph" w:styleId="Ttulo1">
    <w:name w:val="heading 1"/>
    <w:basedOn w:val="Normal"/>
    <w:next w:val="Normal"/>
    <w:link w:val="Ttulo1Car"/>
    <w:uiPriority w:val="9"/>
    <w:qFormat/>
    <w:rsid w:val="003F4302"/>
    <w:pPr>
      <w:keepNext/>
      <w:spacing w:before="240" w:after="60"/>
      <w:jc w:val="both"/>
      <w:outlineLvl w:val="0"/>
    </w:pPr>
    <w:rPr>
      <w:rFonts w:ascii="Cambria" w:eastAsia="Times New Roman" w:hAnsi="Cambria"/>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107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1076A"/>
  </w:style>
  <w:style w:type="paragraph" w:styleId="Piedepgina">
    <w:name w:val="footer"/>
    <w:basedOn w:val="Normal"/>
    <w:link w:val="PiedepginaCar"/>
    <w:uiPriority w:val="99"/>
    <w:semiHidden/>
    <w:unhideWhenUsed/>
    <w:rsid w:val="001107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1076A"/>
  </w:style>
  <w:style w:type="paragraph" w:styleId="Textodeglobo">
    <w:name w:val="Balloon Text"/>
    <w:basedOn w:val="Normal"/>
    <w:link w:val="TextodegloboCar"/>
    <w:uiPriority w:val="99"/>
    <w:semiHidden/>
    <w:unhideWhenUsed/>
    <w:rsid w:val="001107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76A"/>
    <w:rPr>
      <w:rFonts w:ascii="Tahoma" w:hAnsi="Tahoma" w:cs="Tahoma"/>
      <w:sz w:val="16"/>
      <w:szCs w:val="16"/>
    </w:rPr>
  </w:style>
  <w:style w:type="paragraph" w:styleId="Sinespaciado">
    <w:name w:val="No Spacing"/>
    <w:uiPriority w:val="1"/>
    <w:qFormat/>
    <w:rsid w:val="00F92223"/>
    <w:rPr>
      <w:sz w:val="22"/>
      <w:szCs w:val="22"/>
      <w:lang w:val="es-ES" w:eastAsia="en-US"/>
    </w:rPr>
  </w:style>
  <w:style w:type="paragraph" w:styleId="Prrafodelista">
    <w:name w:val="List Paragraph"/>
    <w:basedOn w:val="Normal"/>
    <w:uiPriority w:val="34"/>
    <w:qFormat/>
    <w:rsid w:val="00471515"/>
    <w:pPr>
      <w:ind w:left="720"/>
      <w:contextualSpacing/>
    </w:pPr>
  </w:style>
  <w:style w:type="character" w:customStyle="1" w:styleId="Ttulo1Car">
    <w:name w:val="Título 1 Car"/>
    <w:basedOn w:val="Fuentedeprrafopredeter"/>
    <w:link w:val="Ttulo1"/>
    <w:uiPriority w:val="9"/>
    <w:rsid w:val="003F4302"/>
    <w:rPr>
      <w:rFonts w:ascii="Cambria" w:eastAsia="Times New Roman" w:hAnsi="Cambria"/>
      <w:b/>
      <w:bCs/>
      <w:kern w:val="32"/>
      <w:sz w:val="32"/>
      <w:szCs w:val="32"/>
      <w:lang w:val="es-ES" w:eastAsia="en-US"/>
    </w:rPr>
  </w:style>
  <w:style w:type="paragraph" w:styleId="Textoindependiente">
    <w:name w:val="Body Text"/>
    <w:basedOn w:val="Normal"/>
    <w:link w:val="TextoindependienteCar"/>
    <w:uiPriority w:val="99"/>
    <w:unhideWhenUsed/>
    <w:rsid w:val="003F4302"/>
    <w:pPr>
      <w:spacing w:after="120"/>
      <w:jc w:val="both"/>
    </w:pPr>
    <w:rPr>
      <w:rFonts w:ascii="Arial" w:hAnsi="Arial" w:cs="Arial"/>
      <w:sz w:val="24"/>
      <w:lang w:val="es-ES"/>
    </w:rPr>
  </w:style>
  <w:style w:type="character" w:customStyle="1" w:styleId="TextoindependienteCar">
    <w:name w:val="Texto independiente Car"/>
    <w:basedOn w:val="Fuentedeprrafopredeter"/>
    <w:link w:val="Textoindependiente"/>
    <w:uiPriority w:val="99"/>
    <w:rsid w:val="003F4302"/>
    <w:rPr>
      <w:rFonts w:ascii="Arial" w:hAnsi="Arial" w:cs="Arial"/>
      <w:sz w:val="24"/>
      <w:szCs w:val="22"/>
      <w:lang w:val="es-ES" w:eastAsia="en-US"/>
    </w:rPr>
  </w:style>
  <w:style w:type="table" w:styleId="Tablaconcuadrcula">
    <w:name w:val="Table Grid"/>
    <w:basedOn w:val="Tablanormal"/>
    <w:uiPriority w:val="59"/>
    <w:rsid w:val="003F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F4302"/>
    <w:rPr>
      <w:b/>
      <w:bCs/>
    </w:rPr>
  </w:style>
  <w:style w:type="character" w:styleId="Hipervnculo">
    <w:name w:val="Hyperlink"/>
    <w:uiPriority w:val="99"/>
    <w:unhideWhenUsed/>
    <w:rsid w:val="003F4302"/>
    <w:rPr>
      <w:color w:val="0000FF"/>
      <w:u w:val="single"/>
    </w:rPr>
  </w:style>
  <w:style w:type="paragraph" w:customStyle="1" w:styleId="Default">
    <w:name w:val="Default"/>
    <w:rsid w:val="003F4302"/>
    <w:pPr>
      <w:autoSpaceDE w:val="0"/>
      <w:autoSpaceDN w:val="0"/>
      <w:adjustRightInd w:val="0"/>
    </w:pPr>
    <w:rPr>
      <w:rFonts w:ascii="Arial" w:hAnsi="Arial" w:cs="Arial"/>
      <w:color w:val="000000"/>
      <w:sz w:val="24"/>
      <w:szCs w:val="24"/>
      <w:lang w:eastAsia="en-US"/>
    </w:rPr>
  </w:style>
  <w:style w:type="paragraph" w:styleId="Textocomentario">
    <w:name w:val="annotation text"/>
    <w:basedOn w:val="Normal"/>
    <w:link w:val="TextocomentarioCar"/>
    <w:uiPriority w:val="99"/>
    <w:semiHidden/>
    <w:unhideWhenUsed/>
    <w:rsid w:val="003F4302"/>
    <w:rPr>
      <w:sz w:val="20"/>
      <w:szCs w:val="20"/>
    </w:rPr>
  </w:style>
  <w:style w:type="character" w:customStyle="1" w:styleId="TextocomentarioCar">
    <w:name w:val="Texto comentario Car"/>
    <w:basedOn w:val="Fuentedeprrafopredeter"/>
    <w:link w:val="Textocomentario"/>
    <w:uiPriority w:val="99"/>
    <w:semiHidden/>
    <w:rsid w:val="003F4302"/>
    <w:rPr>
      <w:lang w:eastAsia="en-US"/>
    </w:rPr>
  </w:style>
  <w:style w:type="character" w:customStyle="1" w:styleId="AsuntodelcomentarioCar">
    <w:name w:val="Asunto del comentario Car"/>
    <w:basedOn w:val="TextocomentarioCar"/>
    <w:link w:val="Asuntodelcomentario"/>
    <w:uiPriority w:val="99"/>
    <w:semiHidden/>
    <w:rsid w:val="003F4302"/>
    <w:rPr>
      <w:b/>
      <w:bCs/>
      <w:lang w:eastAsia="en-US"/>
    </w:rPr>
  </w:style>
  <w:style w:type="paragraph" w:styleId="Asuntodelcomentario">
    <w:name w:val="annotation subject"/>
    <w:basedOn w:val="Textocomentario"/>
    <w:next w:val="Textocomentario"/>
    <w:link w:val="AsuntodelcomentarioCar"/>
    <w:uiPriority w:val="99"/>
    <w:semiHidden/>
    <w:unhideWhenUsed/>
    <w:rsid w:val="003F4302"/>
    <w:rPr>
      <w:b/>
      <w:bCs/>
    </w:rPr>
  </w:style>
  <w:style w:type="character" w:customStyle="1" w:styleId="AsuntodelcomentarioCar1">
    <w:name w:val="Asunto del comentario Car1"/>
    <w:basedOn w:val="TextocomentarioCar"/>
    <w:uiPriority w:val="99"/>
    <w:semiHidden/>
    <w:rsid w:val="003F4302"/>
    <w:rPr>
      <w:b/>
      <w:bCs/>
      <w:lang w:eastAsia="en-US"/>
    </w:rPr>
  </w:style>
  <w:style w:type="paragraph" w:customStyle="1" w:styleId="font5">
    <w:name w:val="font5"/>
    <w:basedOn w:val="Normal"/>
    <w:rsid w:val="003F4302"/>
    <w:pPr>
      <w:spacing w:before="100" w:beforeAutospacing="1" w:after="100" w:afterAutospacing="1" w:line="240" w:lineRule="auto"/>
    </w:pPr>
    <w:rPr>
      <w:rFonts w:ascii="Times New Roman" w:eastAsia="Times New Roman" w:hAnsi="Times New Roman"/>
      <w:i/>
      <w:iCs/>
      <w:color w:val="000000"/>
      <w:lang w:eastAsia="es-MX"/>
    </w:rPr>
  </w:style>
  <w:style w:type="paragraph" w:customStyle="1" w:styleId="font6">
    <w:name w:val="font6"/>
    <w:basedOn w:val="Normal"/>
    <w:rsid w:val="003F4302"/>
    <w:pPr>
      <w:spacing w:before="100" w:beforeAutospacing="1" w:after="100" w:afterAutospacing="1" w:line="240" w:lineRule="auto"/>
    </w:pPr>
    <w:rPr>
      <w:rFonts w:ascii="Times New Roman" w:eastAsia="Times New Roman" w:hAnsi="Times New Roman"/>
      <w:b/>
      <w:bCs/>
      <w:i/>
      <w:iCs/>
      <w:color w:val="000000"/>
      <w:lang w:eastAsia="es-MX"/>
    </w:rPr>
  </w:style>
  <w:style w:type="paragraph" w:customStyle="1" w:styleId="xl63">
    <w:name w:val="xl63"/>
    <w:basedOn w:val="Normal"/>
    <w:rsid w:val="003F4302"/>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64">
    <w:name w:val="xl64"/>
    <w:basedOn w:val="Normal"/>
    <w:rsid w:val="003F4302"/>
    <w:pPr>
      <w:spacing w:before="100" w:beforeAutospacing="1" w:after="100" w:afterAutospacing="1" w:line="240" w:lineRule="auto"/>
      <w:jc w:val="center"/>
    </w:pPr>
    <w:rPr>
      <w:rFonts w:ascii="Times New Roman" w:eastAsia="Times New Roman" w:hAnsi="Times New Roman"/>
      <w:b/>
      <w:bCs/>
      <w:sz w:val="20"/>
      <w:szCs w:val="20"/>
      <w:lang w:eastAsia="es-MX"/>
    </w:rPr>
  </w:style>
  <w:style w:type="paragraph" w:customStyle="1" w:styleId="xl65">
    <w:name w:val="xl65"/>
    <w:basedOn w:val="Normal"/>
    <w:rsid w:val="003F4302"/>
    <w:pPr>
      <w:spacing w:before="100" w:beforeAutospacing="1" w:after="100" w:afterAutospacing="1" w:line="240" w:lineRule="auto"/>
    </w:pPr>
    <w:rPr>
      <w:rFonts w:ascii="Times New Roman" w:eastAsia="Times New Roman" w:hAnsi="Times New Roman"/>
      <w:sz w:val="20"/>
      <w:szCs w:val="20"/>
      <w:lang w:eastAsia="es-MX"/>
    </w:rPr>
  </w:style>
  <w:style w:type="paragraph" w:customStyle="1" w:styleId="xl66">
    <w:name w:val="xl66"/>
    <w:basedOn w:val="Normal"/>
    <w:rsid w:val="003F4302"/>
    <w:pPr>
      <w:spacing w:before="100" w:beforeAutospacing="1" w:after="100" w:afterAutospacing="1" w:line="240" w:lineRule="auto"/>
      <w:jc w:val="center"/>
    </w:pPr>
    <w:rPr>
      <w:rFonts w:ascii="Times New Roman" w:eastAsia="Times New Roman" w:hAnsi="Times New Roman"/>
      <w:sz w:val="20"/>
      <w:szCs w:val="20"/>
      <w:lang w:eastAsia="es-MX"/>
    </w:rPr>
  </w:style>
  <w:style w:type="paragraph" w:customStyle="1" w:styleId="xl67">
    <w:name w:val="xl67"/>
    <w:basedOn w:val="Normal"/>
    <w:rsid w:val="003F4302"/>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68">
    <w:name w:val="xl68"/>
    <w:basedOn w:val="Normal"/>
    <w:rsid w:val="003F4302"/>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69">
    <w:name w:val="xl69"/>
    <w:basedOn w:val="Normal"/>
    <w:rsid w:val="003F4302"/>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es-MX"/>
    </w:rPr>
  </w:style>
  <w:style w:type="paragraph" w:customStyle="1" w:styleId="xl70">
    <w:name w:val="xl70"/>
    <w:basedOn w:val="Normal"/>
    <w:rsid w:val="003F4302"/>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71">
    <w:name w:val="xl71"/>
    <w:basedOn w:val="Normal"/>
    <w:rsid w:val="003F4302"/>
    <w:pPr>
      <w:spacing w:before="100" w:beforeAutospacing="1" w:after="100" w:afterAutospacing="1" w:line="240" w:lineRule="auto"/>
    </w:pPr>
    <w:rPr>
      <w:rFonts w:ascii="Times New Roman" w:eastAsia="Times New Roman" w:hAnsi="Times New Roman"/>
      <w:sz w:val="20"/>
      <w:szCs w:val="20"/>
      <w:lang w:eastAsia="es-MX"/>
    </w:rPr>
  </w:style>
  <w:style w:type="paragraph" w:customStyle="1" w:styleId="xl72">
    <w:name w:val="xl72"/>
    <w:basedOn w:val="Normal"/>
    <w:rsid w:val="003F4302"/>
    <w:pPr>
      <w:spacing w:before="100" w:beforeAutospacing="1" w:after="100" w:afterAutospacing="1" w:line="240" w:lineRule="auto"/>
    </w:pPr>
    <w:rPr>
      <w:rFonts w:ascii="Times New Roman" w:eastAsia="Times New Roman" w:hAnsi="Times New Roman"/>
      <w:sz w:val="20"/>
      <w:szCs w:val="20"/>
      <w:lang w:eastAsia="es-MX"/>
    </w:rPr>
  </w:style>
  <w:style w:type="paragraph" w:customStyle="1" w:styleId="xl73">
    <w:name w:val="xl73"/>
    <w:basedOn w:val="Normal"/>
    <w:rsid w:val="003F4302"/>
    <w:pP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es-MX"/>
    </w:rPr>
  </w:style>
  <w:style w:type="paragraph" w:customStyle="1" w:styleId="xl74">
    <w:name w:val="xl74"/>
    <w:basedOn w:val="Normal"/>
    <w:rsid w:val="003F4302"/>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es-MX"/>
    </w:rPr>
  </w:style>
  <w:style w:type="paragraph" w:customStyle="1" w:styleId="xl75">
    <w:name w:val="xl75"/>
    <w:basedOn w:val="Normal"/>
    <w:rsid w:val="003F430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es-MX"/>
    </w:rPr>
  </w:style>
  <w:style w:type="paragraph" w:customStyle="1" w:styleId="xl76">
    <w:name w:val="xl76"/>
    <w:basedOn w:val="Normal"/>
    <w:rsid w:val="003F43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es-MX"/>
    </w:rPr>
  </w:style>
  <w:style w:type="paragraph" w:customStyle="1" w:styleId="xl77">
    <w:name w:val="xl77"/>
    <w:basedOn w:val="Normal"/>
    <w:rsid w:val="003F4302"/>
    <w:pP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es-MX"/>
    </w:rPr>
  </w:style>
  <w:style w:type="paragraph" w:customStyle="1" w:styleId="xl78">
    <w:name w:val="xl78"/>
    <w:basedOn w:val="Normal"/>
    <w:rsid w:val="003F4302"/>
    <w:pPr>
      <w:spacing w:before="100" w:beforeAutospacing="1" w:after="100" w:afterAutospacing="1" w:line="240" w:lineRule="auto"/>
    </w:pPr>
    <w:rPr>
      <w:rFonts w:ascii="Times New Roman" w:eastAsia="Times New Roman" w:hAnsi="Times New Roman"/>
      <w:sz w:val="20"/>
      <w:szCs w:val="20"/>
      <w:lang w:eastAsia="es-MX"/>
    </w:rPr>
  </w:style>
  <w:style w:type="paragraph" w:customStyle="1" w:styleId="xl79">
    <w:name w:val="xl79"/>
    <w:basedOn w:val="Normal"/>
    <w:rsid w:val="003F4302"/>
    <w:pPr>
      <w:spacing w:before="100" w:beforeAutospacing="1" w:after="100" w:afterAutospacing="1" w:line="240" w:lineRule="auto"/>
      <w:textAlignment w:val="center"/>
    </w:pPr>
    <w:rPr>
      <w:rFonts w:ascii="Times New Roman" w:eastAsia="Times New Roman" w:hAnsi="Times New Roman"/>
      <w:b/>
      <w:bCs/>
      <w:color w:val="000000"/>
      <w:sz w:val="20"/>
      <w:szCs w:val="20"/>
      <w:lang w:eastAsia="es-MX"/>
    </w:rPr>
  </w:style>
  <w:style w:type="paragraph" w:customStyle="1" w:styleId="xl80">
    <w:name w:val="xl80"/>
    <w:basedOn w:val="Normal"/>
    <w:rsid w:val="003F4302"/>
    <w:pPr>
      <w:spacing w:before="100" w:beforeAutospacing="1" w:after="100" w:afterAutospacing="1" w:line="240" w:lineRule="auto"/>
    </w:pPr>
    <w:rPr>
      <w:rFonts w:ascii="Times New Roman" w:eastAsia="Times New Roman" w:hAnsi="Times New Roman"/>
      <w:sz w:val="20"/>
      <w:szCs w:val="20"/>
      <w:lang w:eastAsia="es-MX"/>
    </w:rPr>
  </w:style>
  <w:style w:type="paragraph" w:customStyle="1" w:styleId="xl81">
    <w:name w:val="xl81"/>
    <w:basedOn w:val="Normal"/>
    <w:rsid w:val="003F430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es-MX"/>
    </w:rPr>
  </w:style>
  <w:style w:type="paragraph" w:customStyle="1" w:styleId="xl82">
    <w:name w:val="xl82"/>
    <w:basedOn w:val="Normal"/>
    <w:rsid w:val="003F43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es-MX"/>
    </w:rPr>
  </w:style>
  <w:style w:type="paragraph" w:customStyle="1" w:styleId="xl83">
    <w:name w:val="xl83"/>
    <w:basedOn w:val="Normal"/>
    <w:rsid w:val="003F430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0"/>
      <w:szCs w:val="20"/>
      <w:lang w:eastAsia="es-MX"/>
    </w:rPr>
  </w:style>
  <w:style w:type="paragraph" w:customStyle="1" w:styleId="xl84">
    <w:name w:val="xl84"/>
    <w:basedOn w:val="Normal"/>
    <w:rsid w:val="003F4302"/>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0"/>
      <w:szCs w:val="20"/>
      <w:lang w:eastAsia="es-MX"/>
    </w:rPr>
  </w:style>
  <w:style w:type="paragraph" w:customStyle="1" w:styleId="xl85">
    <w:name w:val="xl85"/>
    <w:basedOn w:val="Normal"/>
    <w:rsid w:val="003F430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0"/>
      <w:szCs w:val="20"/>
      <w:lang w:eastAsia="es-MX"/>
    </w:rPr>
  </w:style>
  <w:style w:type="paragraph" w:customStyle="1" w:styleId="xl86">
    <w:name w:val="xl86"/>
    <w:basedOn w:val="Normal"/>
    <w:rsid w:val="003F4302"/>
    <w:pPr>
      <w:spacing w:before="100" w:beforeAutospacing="1" w:after="100" w:afterAutospacing="1" w:line="240" w:lineRule="auto"/>
      <w:jc w:val="center"/>
    </w:pPr>
    <w:rPr>
      <w:rFonts w:ascii="Times New Roman" w:eastAsia="Times New Roman" w:hAnsi="Times New Roman"/>
      <w:b/>
      <w:bCs/>
      <w:i/>
      <w:iCs/>
      <w:sz w:val="24"/>
      <w:szCs w:val="24"/>
      <w:lang w:eastAsia="es-MX"/>
    </w:rPr>
  </w:style>
  <w:style w:type="paragraph" w:customStyle="1" w:styleId="xl87">
    <w:name w:val="xl87"/>
    <w:basedOn w:val="Normal"/>
    <w:rsid w:val="003F4302"/>
    <w:pPr>
      <w:spacing w:before="100" w:beforeAutospacing="1" w:after="100" w:afterAutospacing="1" w:line="240" w:lineRule="auto"/>
      <w:jc w:val="center"/>
    </w:pPr>
    <w:rPr>
      <w:rFonts w:ascii="Times New Roman" w:eastAsia="Times New Roman" w:hAnsi="Times New Roman"/>
      <w:i/>
      <w:iCs/>
      <w:sz w:val="24"/>
      <w:szCs w:val="24"/>
      <w:lang w:eastAsia="es-MX"/>
    </w:rPr>
  </w:style>
  <w:style w:type="paragraph" w:customStyle="1" w:styleId="xl88">
    <w:name w:val="xl88"/>
    <w:basedOn w:val="Normal"/>
    <w:rsid w:val="003F4302"/>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es-MX"/>
    </w:rPr>
  </w:style>
  <w:style w:type="paragraph" w:customStyle="1" w:styleId="xl89">
    <w:name w:val="xl89"/>
    <w:basedOn w:val="Normal"/>
    <w:rsid w:val="003F4302"/>
    <w:pPr>
      <w:spacing w:before="100" w:beforeAutospacing="1" w:after="100" w:afterAutospacing="1" w:line="240" w:lineRule="auto"/>
      <w:jc w:val="center"/>
    </w:pPr>
    <w:rPr>
      <w:rFonts w:ascii="Times New Roman" w:eastAsia="Times New Roman" w:hAnsi="Times New Roman"/>
      <w:i/>
      <w:iCs/>
      <w:sz w:val="24"/>
      <w:szCs w:val="24"/>
      <w:lang w:eastAsia="es-MX"/>
    </w:rPr>
  </w:style>
  <w:style w:type="paragraph" w:customStyle="1" w:styleId="xl90">
    <w:name w:val="xl90"/>
    <w:basedOn w:val="Normal"/>
    <w:rsid w:val="003F4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91">
    <w:name w:val="xl91"/>
    <w:basedOn w:val="Normal"/>
    <w:rsid w:val="003F4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es-MX"/>
    </w:rPr>
  </w:style>
  <w:style w:type="paragraph" w:customStyle="1" w:styleId="xl92">
    <w:name w:val="xl92"/>
    <w:basedOn w:val="Normal"/>
    <w:rsid w:val="003F4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eastAsia="es-MX"/>
    </w:rPr>
  </w:style>
  <w:style w:type="paragraph" w:customStyle="1" w:styleId="xl93">
    <w:name w:val="xl93"/>
    <w:basedOn w:val="Normal"/>
    <w:rsid w:val="003F43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eastAsia="es-MX"/>
    </w:rPr>
  </w:style>
  <w:style w:type="paragraph" w:customStyle="1" w:styleId="xl94">
    <w:name w:val="xl94"/>
    <w:basedOn w:val="Normal"/>
    <w:rsid w:val="003F4302"/>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es-MX"/>
    </w:rPr>
  </w:style>
  <w:style w:type="paragraph" w:customStyle="1" w:styleId="xl95">
    <w:name w:val="xl95"/>
    <w:basedOn w:val="Normal"/>
    <w:rsid w:val="003F4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es-MX"/>
    </w:rPr>
  </w:style>
  <w:style w:type="paragraph" w:customStyle="1" w:styleId="xl96">
    <w:name w:val="xl96"/>
    <w:basedOn w:val="Normal"/>
    <w:rsid w:val="003F43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eastAsia="es-MX"/>
    </w:rPr>
  </w:style>
  <w:style w:type="paragraph" w:customStyle="1" w:styleId="xl97">
    <w:name w:val="xl97"/>
    <w:basedOn w:val="Normal"/>
    <w:rsid w:val="003F4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98">
    <w:name w:val="xl98"/>
    <w:basedOn w:val="Normal"/>
    <w:rsid w:val="003F4302"/>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3F4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00">
    <w:name w:val="xl100"/>
    <w:basedOn w:val="Normal"/>
    <w:rsid w:val="003F4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01">
    <w:name w:val="xl101"/>
    <w:basedOn w:val="Normal"/>
    <w:rsid w:val="003F4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02">
    <w:name w:val="xl102"/>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103">
    <w:name w:val="xl103"/>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104">
    <w:name w:val="xl104"/>
    <w:basedOn w:val="Normal"/>
    <w:rsid w:val="003F43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105">
    <w:name w:val="xl105"/>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06">
    <w:name w:val="xl106"/>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07">
    <w:name w:val="xl107"/>
    <w:basedOn w:val="Normal"/>
    <w:rsid w:val="003F43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08">
    <w:name w:val="xl108"/>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09">
    <w:name w:val="xl109"/>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10">
    <w:name w:val="xl110"/>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111">
    <w:name w:val="xl111"/>
    <w:basedOn w:val="Normal"/>
    <w:rsid w:val="003F43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112">
    <w:name w:val="xl112"/>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13">
    <w:name w:val="xl113"/>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14">
    <w:name w:val="xl114"/>
    <w:basedOn w:val="Normal"/>
    <w:rsid w:val="003F43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15">
    <w:name w:val="xl115"/>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16">
    <w:name w:val="xl116"/>
    <w:basedOn w:val="Normal"/>
    <w:rsid w:val="003F43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17">
    <w:name w:val="xl117"/>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18">
    <w:name w:val="xl118"/>
    <w:basedOn w:val="Normal"/>
    <w:rsid w:val="003F4302"/>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9">
    <w:name w:val="xl119"/>
    <w:basedOn w:val="Normal"/>
    <w:rsid w:val="003F4302"/>
    <w:pPr>
      <w:pBdr>
        <w:top w:val="single" w:sz="4" w:space="0" w:color="auto"/>
        <w:bottom w:val="single" w:sz="4" w:space="0" w:color="auto"/>
      </w:pBdr>
      <w:shd w:val="clear" w:color="000000" w:fill="F79646"/>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20">
    <w:name w:val="xl120"/>
    <w:basedOn w:val="Normal"/>
    <w:rsid w:val="003F4302"/>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21">
    <w:name w:val="xl121"/>
    <w:basedOn w:val="Normal"/>
    <w:rsid w:val="003F4302"/>
    <w:pPr>
      <w:pBdr>
        <w:left w:val="single" w:sz="4" w:space="0" w:color="auto"/>
        <w:bottom w:val="single" w:sz="4" w:space="0" w:color="auto"/>
      </w:pBdr>
      <w:shd w:val="clear" w:color="000000" w:fill="F79646"/>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22">
    <w:name w:val="xl122"/>
    <w:basedOn w:val="Normal"/>
    <w:rsid w:val="003F4302"/>
    <w:pPr>
      <w:pBdr>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23">
    <w:name w:val="xl123"/>
    <w:basedOn w:val="Normal"/>
    <w:rsid w:val="003F43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24">
    <w:name w:val="xl124"/>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125">
    <w:name w:val="xl125"/>
    <w:basedOn w:val="Normal"/>
    <w:rsid w:val="003F43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es-MX"/>
    </w:rPr>
  </w:style>
  <w:style w:type="paragraph" w:customStyle="1" w:styleId="xl126">
    <w:name w:val="xl126"/>
    <w:basedOn w:val="Normal"/>
    <w:rsid w:val="003F4302"/>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es-MX"/>
    </w:rPr>
  </w:style>
  <w:style w:type="paragraph" w:customStyle="1" w:styleId="xl127">
    <w:name w:val="xl127"/>
    <w:basedOn w:val="Normal"/>
    <w:rsid w:val="003F43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es-MX"/>
    </w:rPr>
  </w:style>
  <w:style w:type="paragraph" w:customStyle="1" w:styleId="xl128">
    <w:name w:val="xl128"/>
    <w:basedOn w:val="Normal"/>
    <w:rsid w:val="003F4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29">
    <w:name w:val="xl129"/>
    <w:basedOn w:val="Normal"/>
    <w:rsid w:val="003F4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30">
    <w:name w:val="xl130"/>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31">
    <w:name w:val="xl131"/>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32">
    <w:name w:val="xl132"/>
    <w:basedOn w:val="Normal"/>
    <w:rsid w:val="003F43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33">
    <w:name w:val="xl133"/>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34">
    <w:name w:val="xl134"/>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35">
    <w:name w:val="xl135"/>
    <w:basedOn w:val="Normal"/>
    <w:rsid w:val="003F43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36">
    <w:name w:val="xl136"/>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37">
    <w:name w:val="xl137"/>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38">
    <w:name w:val="xl138"/>
    <w:basedOn w:val="Normal"/>
    <w:rsid w:val="003F43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39">
    <w:name w:val="xl139"/>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140">
    <w:name w:val="xl140"/>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141">
    <w:name w:val="xl141"/>
    <w:basedOn w:val="Normal"/>
    <w:rsid w:val="003F43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142">
    <w:name w:val="xl142"/>
    <w:basedOn w:val="Normal"/>
    <w:rsid w:val="003F4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43">
    <w:name w:val="xl143"/>
    <w:basedOn w:val="Normal"/>
    <w:rsid w:val="003F4302"/>
    <w:pPr>
      <w:pBdr>
        <w:top w:val="single" w:sz="4" w:space="0" w:color="auto"/>
        <w:left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44">
    <w:name w:val="xl144"/>
    <w:basedOn w:val="Normal"/>
    <w:rsid w:val="003F4302"/>
    <w:pPr>
      <w:pBdr>
        <w:top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45">
    <w:name w:val="xl145"/>
    <w:basedOn w:val="Normal"/>
    <w:rsid w:val="003F4302"/>
    <w:pPr>
      <w:pBdr>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46">
    <w:name w:val="xl146"/>
    <w:basedOn w:val="Normal"/>
    <w:rsid w:val="003F4302"/>
    <w:pPr>
      <w:pBdr>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47">
    <w:name w:val="xl147"/>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48">
    <w:name w:val="xl148"/>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149">
    <w:name w:val="xl149"/>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150">
    <w:name w:val="xl150"/>
    <w:basedOn w:val="Normal"/>
    <w:rsid w:val="003F43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151">
    <w:name w:val="xl151"/>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152">
    <w:name w:val="xl152"/>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153">
    <w:name w:val="xl153"/>
    <w:basedOn w:val="Normal"/>
    <w:rsid w:val="003F43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es-MX"/>
    </w:rPr>
  </w:style>
  <w:style w:type="paragraph" w:customStyle="1" w:styleId="xl154">
    <w:name w:val="xl154"/>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55">
    <w:name w:val="xl155"/>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56">
    <w:name w:val="xl156"/>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57">
    <w:name w:val="xl157"/>
    <w:basedOn w:val="Normal"/>
    <w:rsid w:val="003F43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58">
    <w:name w:val="xl158"/>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59">
    <w:name w:val="xl159"/>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60">
    <w:name w:val="xl160"/>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61">
    <w:name w:val="xl161"/>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62">
    <w:name w:val="xl162"/>
    <w:basedOn w:val="Normal"/>
    <w:rsid w:val="003F43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63">
    <w:name w:val="xl163"/>
    <w:basedOn w:val="Normal"/>
    <w:rsid w:val="003F43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64">
    <w:name w:val="xl164"/>
    <w:basedOn w:val="Normal"/>
    <w:rsid w:val="003F43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65">
    <w:name w:val="xl165"/>
    <w:basedOn w:val="Normal"/>
    <w:rsid w:val="003F43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66">
    <w:name w:val="xl166"/>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67">
    <w:name w:val="xl167"/>
    <w:basedOn w:val="Normal"/>
    <w:rsid w:val="003F43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68">
    <w:name w:val="xl168"/>
    <w:basedOn w:val="Normal"/>
    <w:rsid w:val="003F430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es-MX"/>
    </w:rPr>
  </w:style>
  <w:style w:type="paragraph" w:customStyle="1" w:styleId="xl169">
    <w:name w:val="xl169"/>
    <w:basedOn w:val="Normal"/>
    <w:rsid w:val="003F4302"/>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Arial Narrow" w:eastAsia="Times New Roman" w:hAnsi="Arial Narrow"/>
      <w:b/>
      <w:bCs/>
      <w:sz w:val="16"/>
      <w:szCs w:val="16"/>
      <w:lang w:eastAsia="es-MX"/>
    </w:rPr>
  </w:style>
  <w:style w:type="paragraph" w:customStyle="1" w:styleId="xl170">
    <w:name w:val="xl170"/>
    <w:basedOn w:val="Normal"/>
    <w:rsid w:val="003F4302"/>
    <w:pPr>
      <w:pBdr>
        <w:top w:val="single" w:sz="4" w:space="0" w:color="auto"/>
        <w:bottom w:val="single" w:sz="4" w:space="0" w:color="auto"/>
      </w:pBdr>
      <w:shd w:val="clear" w:color="000000" w:fill="F79646"/>
      <w:spacing w:before="100" w:beforeAutospacing="1" w:after="100" w:afterAutospacing="1" w:line="240" w:lineRule="auto"/>
      <w:jc w:val="center"/>
    </w:pPr>
    <w:rPr>
      <w:rFonts w:ascii="Arial Narrow" w:eastAsia="Times New Roman" w:hAnsi="Arial Narrow"/>
      <w:b/>
      <w:bCs/>
      <w:sz w:val="16"/>
      <w:szCs w:val="16"/>
      <w:lang w:eastAsia="es-MX"/>
    </w:rPr>
  </w:style>
  <w:style w:type="paragraph" w:customStyle="1" w:styleId="xl171">
    <w:name w:val="xl171"/>
    <w:basedOn w:val="Normal"/>
    <w:rsid w:val="003F4302"/>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Arial Narrow" w:eastAsia="Times New Roman" w:hAnsi="Arial Narrow"/>
      <w:b/>
      <w:bCs/>
      <w:sz w:val="16"/>
      <w:szCs w:val="16"/>
      <w:lang w:eastAsia="es-MX"/>
    </w:rPr>
  </w:style>
  <w:style w:type="paragraph" w:customStyle="1" w:styleId="xl172">
    <w:name w:val="xl172"/>
    <w:basedOn w:val="Normal"/>
    <w:rsid w:val="003F4302"/>
    <w:pPr>
      <w:pBdr>
        <w:left w:val="single" w:sz="4" w:space="0" w:color="auto"/>
        <w:bottom w:val="single" w:sz="4" w:space="0" w:color="auto"/>
      </w:pBdr>
      <w:shd w:val="clear" w:color="000000" w:fill="F79646"/>
      <w:spacing w:before="100" w:beforeAutospacing="1" w:after="100" w:afterAutospacing="1" w:line="240" w:lineRule="auto"/>
      <w:jc w:val="center"/>
    </w:pPr>
    <w:rPr>
      <w:rFonts w:ascii="Arial Narrow" w:eastAsia="Times New Roman" w:hAnsi="Arial Narrow"/>
      <w:b/>
      <w:bCs/>
      <w:sz w:val="16"/>
      <w:szCs w:val="16"/>
      <w:lang w:eastAsia="es-MX"/>
    </w:rPr>
  </w:style>
  <w:style w:type="paragraph" w:customStyle="1" w:styleId="xl173">
    <w:name w:val="xl173"/>
    <w:basedOn w:val="Normal"/>
    <w:rsid w:val="003F4302"/>
    <w:pPr>
      <w:pBdr>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Arial Narrow" w:eastAsia="Times New Roman" w:hAnsi="Arial Narrow"/>
      <w:b/>
      <w:bCs/>
      <w:sz w:val="16"/>
      <w:szCs w:val="16"/>
      <w:lang w:eastAsia="es-MX"/>
    </w:rPr>
  </w:style>
  <w:style w:type="paragraph" w:customStyle="1" w:styleId="xl174">
    <w:name w:val="xl174"/>
    <w:basedOn w:val="Normal"/>
    <w:rsid w:val="003F4302"/>
    <w:pPr>
      <w:pBdr>
        <w:top w:val="single" w:sz="4" w:space="0" w:color="auto"/>
        <w:left w:val="single" w:sz="4" w:space="0" w:color="auto"/>
      </w:pBdr>
      <w:shd w:val="clear" w:color="000000" w:fill="F79646"/>
      <w:spacing w:before="100" w:beforeAutospacing="1" w:after="100" w:afterAutospacing="1" w:line="240" w:lineRule="auto"/>
      <w:jc w:val="center"/>
      <w:textAlignment w:val="center"/>
    </w:pPr>
    <w:rPr>
      <w:rFonts w:ascii="Arial Narrow" w:eastAsia="Times New Roman" w:hAnsi="Arial Narrow"/>
      <w:b/>
      <w:bCs/>
      <w:sz w:val="16"/>
      <w:szCs w:val="16"/>
      <w:lang w:eastAsia="es-MX"/>
    </w:rPr>
  </w:style>
  <w:style w:type="paragraph" w:customStyle="1" w:styleId="xl175">
    <w:name w:val="xl175"/>
    <w:basedOn w:val="Normal"/>
    <w:rsid w:val="003F4302"/>
    <w:pPr>
      <w:pBdr>
        <w:top w:val="single" w:sz="4" w:space="0" w:color="auto"/>
      </w:pBdr>
      <w:shd w:val="clear" w:color="000000" w:fill="F79646"/>
      <w:spacing w:before="100" w:beforeAutospacing="1" w:after="100" w:afterAutospacing="1" w:line="240" w:lineRule="auto"/>
      <w:jc w:val="center"/>
      <w:textAlignment w:val="center"/>
    </w:pPr>
    <w:rPr>
      <w:rFonts w:ascii="Arial Narrow" w:eastAsia="Times New Roman" w:hAnsi="Arial Narrow"/>
      <w:b/>
      <w:bCs/>
      <w:sz w:val="16"/>
      <w:szCs w:val="16"/>
      <w:lang w:eastAsia="es-MX"/>
    </w:rPr>
  </w:style>
  <w:style w:type="paragraph" w:customStyle="1" w:styleId="xl176">
    <w:name w:val="xl176"/>
    <w:basedOn w:val="Normal"/>
    <w:rsid w:val="003F4302"/>
    <w:pPr>
      <w:pBdr>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ascii="Arial Narrow" w:eastAsia="Times New Roman" w:hAnsi="Arial Narrow"/>
      <w:b/>
      <w:bCs/>
      <w:sz w:val="16"/>
      <w:szCs w:val="16"/>
      <w:lang w:eastAsia="es-MX"/>
    </w:rPr>
  </w:style>
  <w:style w:type="paragraph" w:customStyle="1" w:styleId="xl177">
    <w:name w:val="xl177"/>
    <w:basedOn w:val="Normal"/>
    <w:rsid w:val="003F4302"/>
    <w:pPr>
      <w:pBdr>
        <w:bottom w:val="single" w:sz="4" w:space="0" w:color="auto"/>
      </w:pBdr>
      <w:shd w:val="clear" w:color="000000" w:fill="F79646"/>
      <w:spacing w:before="100" w:beforeAutospacing="1" w:after="100" w:afterAutospacing="1" w:line="240" w:lineRule="auto"/>
      <w:jc w:val="center"/>
      <w:textAlignment w:val="center"/>
    </w:pPr>
    <w:rPr>
      <w:rFonts w:ascii="Arial Narrow" w:eastAsia="Times New Roman" w:hAnsi="Arial Narrow"/>
      <w:b/>
      <w:bCs/>
      <w:sz w:val="16"/>
      <w:szCs w:val="16"/>
      <w:lang w:eastAsia="es-MX"/>
    </w:rPr>
  </w:style>
  <w:style w:type="paragraph" w:styleId="NormalWeb">
    <w:name w:val="Normal (Web)"/>
    <w:basedOn w:val="Normal"/>
    <w:uiPriority w:val="99"/>
    <w:unhideWhenUsed/>
    <w:rsid w:val="00455D3A"/>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2073">
      <w:bodyDiv w:val="1"/>
      <w:marLeft w:val="0"/>
      <w:marRight w:val="0"/>
      <w:marTop w:val="0"/>
      <w:marBottom w:val="0"/>
      <w:divBdr>
        <w:top w:val="none" w:sz="0" w:space="0" w:color="auto"/>
        <w:left w:val="none" w:sz="0" w:space="0" w:color="auto"/>
        <w:bottom w:val="none" w:sz="0" w:space="0" w:color="auto"/>
        <w:right w:val="none" w:sz="0" w:space="0" w:color="auto"/>
      </w:divBdr>
    </w:div>
    <w:div w:id="295449687">
      <w:bodyDiv w:val="1"/>
      <w:marLeft w:val="0"/>
      <w:marRight w:val="0"/>
      <w:marTop w:val="0"/>
      <w:marBottom w:val="0"/>
      <w:divBdr>
        <w:top w:val="none" w:sz="0" w:space="0" w:color="auto"/>
        <w:left w:val="none" w:sz="0" w:space="0" w:color="auto"/>
        <w:bottom w:val="none" w:sz="0" w:space="0" w:color="auto"/>
        <w:right w:val="none" w:sz="0" w:space="0" w:color="auto"/>
      </w:divBdr>
    </w:div>
    <w:div w:id="454367591">
      <w:bodyDiv w:val="1"/>
      <w:marLeft w:val="0"/>
      <w:marRight w:val="0"/>
      <w:marTop w:val="0"/>
      <w:marBottom w:val="0"/>
      <w:divBdr>
        <w:top w:val="none" w:sz="0" w:space="0" w:color="auto"/>
        <w:left w:val="none" w:sz="0" w:space="0" w:color="auto"/>
        <w:bottom w:val="none" w:sz="0" w:space="0" w:color="auto"/>
        <w:right w:val="none" w:sz="0" w:space="0" w:color="auto"/>
      </w:divBdr>
    </w:div>
    <w:div w:id="503862130">
      <w:bodyDiv w:val="1"/>
      <w:marLeft w:val="0"/>
      <w:marRight w:val="0"/>
      <w:marTop w:val="0"/>
      <w:marBottom w:val="0"/>
      <w:divBdr>
        <w:top w:val="none" w:sz="0" w:space="0" w:color="auto"/>
        <w:left w:val="none" w:sz="0" w:space="0" w:color="auto"/>
        <w:bottom w:val="none" w:sz="0" w:space="0" w:color="auto"/>
        <w:right w:val="none" w:sz="0" w:space="0" w:color="auto"/>
      </w:divBdr>
    </w:div>
    <w:div w:id="570849465">
      <w:bodyDiv w:val="1"/>
      <w:marLeft w:val="0"/>
      <w:marRight w:val="0"/>
      <w:marTop w:val="0"/>
      <w:marBottom w:val="0"/>
      <w:divBdr>
        <w:top w:val="none" w:sz="0" w:space="0" w:color="auto"/>
        <w:left w:val="none" w:sz="0" w:space="0" w:color="auto"/>
        <w:bottom w:val="none" w:sz="0" w:space="0" w:color="auto"/>
        <w:right w:val="none" w:sz="0" w:space="0" w:color="auto"/>
      </w:divBdr>
    </w:div>
    <w:div w:id="582184780">
      <w:bodyDiv w:val="1"/>
      <w:marLeft w:val="0"/>
      <w:marRight w:val="0"/>
      <w:marTop w:val="0"/>
      <w:marBottom w:val="0"/>
      <w:divBdr>
        <w:top w:val="none" w:sz="0" w:space="0" w:color="auto"/>
        <w:left w:val="none" w:sz="0" w:space="0" w:color="auto"/>
        <w:bottom w:val="none" w:sz="0" w:space="0" w:color="auto"/>
        <w:right w:val="none" w:sz="0" w:space="0" w:color="auto"/>
      </w:divBdr>
    </w:div>
    <w:div w:id="610549951">
      <w:bodyDiv w:val="1"/>
      <w:marLeft w:val="0"/>
      <w:marRight w:val="0"/>
      <w:marTop w:val="0"/>
      <w:marBottom w:val="0"/>
      <w:divBdr>
        <w:top w:val="none" w:sz="0" w:space="0" w:color="auto"/>
        <w:left w:val="none" w:sz="0" w:space="0" w:color="auto"/>
        <w:bottom w:val="none" w:sz="0" w:space="0" w:color="auto"/>
        <w:right w:val="none" w:sz="0" w:space="0" w:color="auto"/>
      </w:divBdr>
    </w:div>
    <w:div w:id="673194119">
      <w:bodyDiv w:val="1"/>
      <w:marLeft w:val="0"/>
      <w:marRight w:val="0"/>
      <w:marTop w:val="0"/>
      <w:marBottom w:val="0"/>
      <w:divBdr>
        <w:top w:val="none" w:sz="0" w:space="0" w:color="auto"/>
        <w:left w:val="none" w:sz="0" w:space="0" w:color="auto"/>
        <w:bottom w:val="none" w:sz="0" w:space="0" w:color="auto"/>
        <w:right w:val="none" w:sz="0" w:space="0" w:color="auto"/>
      </w:divBdr>
    </w:div>
    <w:div w:id="685063374">
      <w:bodyDiv w:val="1"/>
      <w:marLeft w:val="0"/>
      <w:marRight w:val="0"/>
      <w:marTop w:val="0"/>
      <w:marBottom w:val="0"/>
      <w:divBdr>
        <w:top w:val="none" w:sz="0" w:space="0" w:color="auto"/>
        <w:left w:val="none" w:sz="0" w:space="0" w:color="auto"/>
        <w:bottom w:val="none" w:sz="0" w:space="0" w:color="auto"/>
        <w:right w:val="none" w:sz="0" w:space="0" w:color="auto"/>
      </w:divBdr>
    </w:div>
    <w:div w:id="725446459">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
    <w:div w:id="1087578237">
      <w:bodyDiv w:val="1"/>
      <w:marLeft w:val="0"/>
      <w:marRight w:val="0"/>
      <w:marTop w:val="0"/>
      <w:marBottom w:val="0"/>
      <w:divBdr>
        <w:top w:val="none" w:sz="0" w:space="0" w:color="auto"/>
        <w:left w:val="none" w:sz="0" w:space="0" w:color="auto"/>
        <w:bottom w:val="none" w:sz="0" w:space="0" w:color="auto"/>
        <w:right w:val="none" w:sz="0" w:space="0" w:color="auto"/>
      </w:divBdr>
    </w:div>
    <w:div w:id="1095052279">
      <w:bodyDiv w:val="1"/>
      <w:marLeft w:val="0"/>
      <w:marRight w:val="0"/>
      <w:marTop w:val="0"/>
      <w:marBottom w:val="0"/>
      <w:divBdr>
        <w:top w:val="none" w:sz="0" w:space="0" w:color="auto"/>
        <w:left w:val="none" w:sz="0" w:space="0" w:color="auto"/>
        <w:bottom w:val="none" w:sz="0" w:space="0" w:color="auto"/>
        <w:right w:val="none" w:sz="0" w:space="0" w:color="auto"/>
      </w:divBdr>
    </w:div>
    <w:div w:id="1095785821">
      <w:bodyDiv w:val="1"/>
      <w:marLeft w:val="0"/>
      <w:marRight w:val="0"/>
      <w:marTop w:val="0"/>
      <w:marBottom w:val="0"/>
      <w:divBdr>
        <w:top w:val="none" w:sz="0" w:space="0" w:color="auto"/>
        <w:left w:val="none" w:sz="0" w:space="0" w:color="auto"/>
        <w:bottom w:val="none" w:sz="0" w:space="0" w:color="auto"/>
        <w:right w:val="none" w:sz="0" w:space="0" w:color="auto"/>
      </w:divBdr>
    </w:div>
    <w:div w:id="1103115055">
      <w:bodyDiv w:val="1"/>
      <w:marLeft w:val="0"/>
      <w:marRight w:val="0"/>
      <w:marTop w:val="0"/>
      <w:marBottom w:val="0"/>
      <w:divBdr>
        <w:top w:val="none" w:sz="0" w:space="0" w:color="auto"/>
        <w:left w:val="none" w:sz="0" w:space="0" w:color="auto"/>
        <w:bottom w:val="none" w:sz="0" w:space="0" w:color="auto"/>
        <w:right w:val="none" w:sz="0" w:space="0" w:color="auto"/>
      </w:divBdr>
    </w:div>
    <w:div w:id="1106534820">
      <w:bodyDiv w:val="1"/>
      <w:marLeft w:val="0"/>
      <w:marRight w:val="0"/>
      <w:marTop w:val="0"/>
      <w:marBottom w:val="0"/>
      <w:divBdr>
        <w:top w:val="none" w:sz="0" w:space="0" w:color="auto"/>
        <w:left w:val="none" w:sz="0" w:space="0" w:color="auto"/>
        <w:bottom w:val="none" w:sz="0" w:space="0" w:color="auto"/>
        <w:right w:val="none" w:sz="0" w:space="0" w:color="auto"/>
      </w:divBdr>
    </w:div>
    <w:div w:id="1164125222">
      <w:bodyDiv w:val="1"/>
      <w:marLeft w:val="0"/>
      <w:marRight w:val="0"/>
      <w:marTop w:val="0"/>
      <w:marBottom w:val="0"/>
      <w:divBdr>
        <w:top w:val="none" w:sz="0" w:space="0" w:color="auto"/>
        <w:left w:val="none" w:sz="0" w:space="0" w:color="auto"/>
        <w:bottom w:val="none" w:sz="0" w:space="0" w:color="auto"/>
        <w:right w:val="none" w:sz="0" w:space="0" w:color="auto"/>
      </w:divBdr>
    </w:div>
    <w:div w:id="1252817720">
      <w:bodyDiv w:val="1"/>
      <w:marLeft w:val="0"/>
      <w:marRight w:val="0"/>
      <w:marTop w:val="0"/>
      <w:marBottom w:val="0"/>
      <w:divBdr>
        <w:top w:val="none" w:sz="0" w:space="0" w:color="auto"/>
        <w:left w:val="none" w:sz="0" w:space="0" w:color="auto"/>
        <w:bottom w:val="none" w:sz="0" w:space="0" w:color="auto"/>
        <w:right w:val="none" w:sz="0" w:space="0" w:color="auto"/>
      </w:divBdr>
    </w:div>
    <w:div w:id="1273896182">
      <w:bodyDiv w:val="1"/>
      <w:marLeft w:val="0"/>
      <w:marRight w:val="0"/>
      <w:marTop w:val="0"/>
      <w:marBottom w:val="0"/>
      <w:divBdr>
        <w:top w:val="none" w:sz="0" w:space="0" w:color="auto"/>
        <w:left w:val="none" w:sz="0" w:space="0" w:color="auto"/>
        <w:bottom w:val="none" w:sz="0" w:space="0" w:color="auto"/>
        <w:right w:val="none" w:sz="0" w:space="0" w:color="auto"/>
      </w:divBdr>
    </w:div>
    <w:div w:id="1311793119">
      <w:bodyDiv w:val="1"/>
      <w:marLeft w:val="0"/>
      <w:marRight w:val="0"/>
      <w:marTop w:val="0"/>
      <w:marBottom w:val="0"/>
      <w:divBdr>
        <w:top w:val="none" w:sz="0" w:space="0" w:color="auto"/>
        <w:left w:val="none" w:sz="0" w:space="0" w:color="auto"/>
        <w:bottom w:val="none" w:sz="0" w:space="0" w:color="auto"/>
        <w:right w:val="none" w:sz="0" w:space="0" w:color="auto"/>
      </w:divBdr>
    </w:div>
    <w:div w:id="1348362529">
      <w:bodyDiv w:val="1"/>
      <w:marLeft w:val="0"/>
      <w:marRight w:val="0"/>
      <w:marTop w:val="0"/>
      <w:marBottom w:val="0"/>
      <w:divBdr>
        <w:top w:val="none" w:sz="0" w:space="0" w:color="auto"/>
        <w:left w:val="none" w:sz="0" w:space="0" w:color="auto"/>
        <w:bottom w:val="none" w:sz="0" w:space="0" w:color="auto"/>
        <w:right w:val="none" w:sz="0" w:space="0" w:color="auto"/>
      </w:divBdr>
    </w:div>
    <w:div w:id="1380864014">
      <w:bodyDiv w:val="1"/>
      <w:marLeft w:val="0"/>
      <w:marRight w:val="0"/>
      <w:marTop w:val="0"/>
      <w:marBottom w:val="0"/>
      <w:divBdr>
        <w:top w:val="none" w:sz="0" w:space="0" w:color="auto"/>
        <w:left w:val="none" w:sz="0" w:space="0" w:color="auto"/>
        <w:bottom w:val="none" w:sz="0" w:space="0" w:color="auto"/>
        <w:right w:val="none" w:sz="0" w:space="0" w:color="auto"/>
      </w:divBdr>
    </w:div>
    <w:div w:id="1382292182">
      <w:bodyDiv w:val="1"/>
      <w:marLeft w:val="0"/>
      <w:marRight w:val="0"/>
      <w:marTop w:val="0"/>
      <w:marBottom w:val="0"/>
      <w:divBdr>
        <w:top w:val="none" w:sz="0" w:space="0" w:color="auto"/>
        <w:left w:val="none" w:sz="0" w:space="0" w:color="auto"/>
        <w:bottom w:val="none" w:sz="0" w:space="0" w:color="auto"/>
        <w:right w:val="none" w:sz="0" w:space="0" w:color="auto"/>
      </w:divBdr>
    </w:div>
    <w:div w:id="1528372041">
      <w:bodyDiv w:val="1"/>
      <w:marLeft w:val="0"/>
      <w:marRight w:val="0"/>
      <w:marTop w:val="0"/>
      <w:marBottom w:val="0"/>
      <w:divBdr>
        <w:top w:val="none" w:sz="0" w:space="0" w:color="auto"/>
        <w:left w:val="none" w:sz="0" w:space="0" w:color="auto"/>
        <w:bottom w:val="none" w:sz="0" w:space="0" w:color="auto"/>
        <w:right w:val="none" w:sz="0" w:space="0" w:color="auto"/>
      </w:divBdr>
    </w:div>
    <w:div w:id="1869950995">
      <w:bodyDiv w:val="1"/>
      <w:marLeft w:val="0"/>
      <w:marRight w:val="0"/>
      <w:marTop w:val="0"/>
      <w:marBottom w:val="0"/>
      <w:divBdr>
        <w:top w:val="none" w:sz="0" w:space="0" w:color="auto"/>
        <w:left w:val="none" w:sz="0" w:space="0" w:color="auto"/>
        <w:bottom w:val="none" w:sz="0" w:space="0" w:color="auto"/>
        <w:right w:val="none" w:sz="0" w:space="0" w:color="auto"/>
      </w:divBdr>
    </w:div>
    <w:div w:id="1886721381">
      <w:bodyDiv w:val="1"/>
      <w:marLeft w:val="0"/>
      <w:marRight w:val="0"/>
      <w:marTop w:val="0"/>
      <w:marBottom w:val="0"/>
      <w:divBdr>
        <w:top w:val="none" w:sz="0" w:space="0" w:color="auto"/>
        <w:left w:val="none" w:sz="0" w:space="0" w:color="auto"/>
        <w:bottom w:val="none" w:sz="0" w:space="0" w:color="auto"/>
        <w:right w:val="none" w:sz="0" w:space="0" w:color="auto"/>
      </w:divBdr>
    </w:div>
    <w:div w:id="1981962231">
      <w:bodyDiv w:val="1"/>
      <w:marLeft w:val="0"/>
      <w:marRight w:val="0"/>
      <w:marTop w:val="0"/>
      <w:marBottom w:val="0"/>
      <w:divBdr>
        <w:top w:val="none" w:sz="0" w:space="0" w:color="auto"/>
        <w:left w:val="none" w:sz="0" w:space="0" w:color="auto"/>
        <w:bottom w:val="none" w:sz="0" w:space="0" w:color="auto"/>
        <w:right w:val="none" w:sz="0" w:space="0" w:color="auto"/>
      </w:divBdr>
    </w:div>
    <w:div w:id="20050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pansion.mx/economia/2016/05/20/la-economia-mexicana-crece-08-en-el-primer-trimestre-del-an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expansion.mx/economia/2016/05/25/banxico-recorta-su-pronostico-de-crecimiento-economico-para-2017"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288B-9B23-458C-BFC9-809BAD0A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3802</Words>
  <Characters>20911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oosunar</dc:creator>
  <cp:lastModifiedBy>Estefania</cp:lastModifiedBy>
  <cp:revision>2</cp:revision>
  <cp:lastPrinted>2016-02-24T21:08:00Z</cp:lastPrinted>
  <dcterms:created xsi:type="dcterms:W3CDTF">2018-08-07T15:31:00Z</dcterms:created>
  <dcterms:modified xsi:type="dcterms:W3CDTF">2018-08-07T15:31:00Z</dcterms:modified>
</cp:coreProperties>
</file>